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8CB334" w14:textId="77777777" w:rsidR="00C263A9" w:rsidRPr="00E01A45" w:rsidRDefault="00C263A9" w:rsidP="00C263A9">
      <w:pPr>
        <w:rPr>
          <w:i/>
          <w:color w:val="212121"/>
          <w:sz w:val="24"/>
          <w:szCs w:val="24"/>
        </w:rPr>
      </w:pPr>
      <w:r w:rsidRPr="00E01A45">
        <w:rPr>
          <w:b/>
          <w:i/>
          <w:color w:val="212121"/>
          <w:sz w:val="24"/>
          <w:szCs w:val="24"/>
        </w:rPr>
        <w:t xml:space="preserve">Workshop Agenda </w:t>
      </w:r>
    </w:p>
    <w:p w14:paraId="64C3AB6E" w14:textId="77777777" w:rsidR="00C263A9" w:rsidRPr="00E01A45" w:rsidRDefault="00C263A9" w:rsidP="00C263A9">
      <w:pPr>
        <w:rPr>
          <w:color w:val="212121"/>
          <w:sz w:val="24"/>
          <w:szCs w:val="24"/>
        </w:rPr>
      </w:pPr>
      <w:r w:rsidRPr="00E01A45">
        <w:rPr>
          <w:color w:val="212121"/>
          <w:sz w:val="24"/>
          <w:szCs w:val="24"/>
        </w:rPr>
        <w:t>The session will begin with a social equity-focused operational agreement “</w:t>
      </w:r>
      <w:proofErr w:type="spellStart"/>
      <w:r w:rsidRPr="00E01A45">
        <w:rPr>
          <w:color w:val="212121"/>
          <w:sz w:val="24"/>
          <w:szCs w:val="24"/>
        </w:rPr>
        <w:t>Sensoy</w:t>
      </w:r>
      <w:proofErr w:type="spellEnd"/>
      <w:r w:rsidRPr="00E01A45">
        <w:rPr>
          <w:color w:val="212121"/>
          <w:sz w:val="24"/>
          <w:szCs w:val="24"/>
        </w:rPr>
        <w:t xml:space="preserve"> O and </w:t>
      </w:r>
      <w:proofErr w:type="spellStart"/>
      <w:r w:rsidRPr="00E01A45">
        <w:rPr>
          <w:color w:val="212121"/>
          <w:sz w:val="24"/>
          <w:szCs w:val="24"/>
        </w:rPr>
        <w:t>DiAngelo</w:t>
      </w:r>
      <w:proofErr w:type="spellEnd"/>
      <w:r w:rsidRPr="00E01A45">
        <w:rPr>
          <w:color w:val="212121"/>
          <w:sz w:val="24"/>
          <w:szCs w:val="24"/>
        </w:rPr>
        <w:t xml:space="preserve"> R. (2014)”, and community-building activities that are designed to model building a sense of belongingness for students. Building social belonging among students is key to their academic success, and Interventions have been shown to improve GPA for academically at-risk students and to promote their overall health and wellbeing “Walton &amp; Cohen (2011)”. </w:t>
      </w:r>
    </w:p>
    <w:p w14:paraId="4194771F" w14:textId="77777777" w:rsidR="00C263A9" w:rsidRPr="00E01A45" w:rsidRDefault="00C263A9" w:rsidP="00C263A9">
      <w:pPr>
        <w:rPr>
          <w:color w:val="212121"/>
          <w:sz w:val="24"/>
          <w:szCs w:val="24"/>
        </w:rPr>
      </w:pPr>
    </w:p>
    <w:p w14:paraId="77AACA22" w14:textId="77777777" w:rsidR="00C263A9" w:rsidRPr="00E01A45" w:rsidRDefault="00C263A9" w:rsidP="00C263A9">
      <w:pPr>
        <w:rPr>
          <w:color w:val="212121"/>
          <w:sz w:val="24"/>
          <w:szCs w:val="24"/>
        </w:rPr>
      </w:pPr>
      <w:r w:rsidRPr="00E01A45">
        <w:rPr>
          <w:color w:val="212121"/>
          <w:sz w:val="24"/>
          <w:szCs w:val="24"/>
        </w:rPr>
        <w:t>Participants will next personalize the experience by “mapping” programming from their own campuses that is designed to prepare faculty to effectively support the academic success of students from underrepresented groups.</w:t>
      </w:r>
    </w:p>
    <w:p w14:paraId="6E196D70" w14:textId="77777777" w:rsidR="00C263A9" w:rsidRPr="00E01A45" w:rsidRDefault="00C263A9" w:rsidP="00C263A9">
      <w:pPr>
        <w:rPr>
          <w:color w:val="212121"/>
          <w:sz w:val="24"/>
          <w:szCs w:val="24"/>
        </w:rPr>
      </w:pPr>
    </w:p>
    <w:p w14:paraId="608861E3" w14:textId="77777777" w:rsidR="00C263A9" w:rsidRPr="00E01A45" w:rsidRDefault="00C263A9" w:rsidP="00C263A9">
      <w:pPr>
        <w:rPr>
          <w:sz w:val="24"/>
          <w:szCs w:val="24"/>
        </w:rPr>
      </w:pPr>
      <w:r w:rsidRPr="00E01A45">
        <w:rPr>
          <w:color w:val="212121"/>
          <w:sz w:val="24"/>
          <w:szCs w:val="24"/>
        </w:rPr>
        <w:t xml:space="preserve">Mapping will be followed by an introduction to </w:t>
      </w:r>
      <w:proofErr w:type="spellStart"/>
      <w:r w:rsidRPr="00E01A45">
        <w:rPr>
          <w:sz w:val="24"/>
          <w:szCs w:val="24"/>
        </w:rPr>
        <w:t>Aspire’s</w:t>
      </w:r>
      <w:proofErr w:type="spellEnd"/>
      <w:r w:rsidRPr="00E01A45">
        <w:rPr>
          <w:sz w:val="24"/>
          <w:szCs w:val="24"/>
        </w:rPr>
        <w:t xml:space="preserve"> </w:t>
      </w:r>
      <w:r w:rsidRPr="00E01A45">
        <w:rPr>
          <w:b/>
          <w:i/>
          <w:sz w:val="24"/>
          <w:szCs w:val="24"/>
        </w:rPr>
        <w:t>Inclusive Faculty Framework</w:t>
      </w:r>
      <w:r w:rsidRPr="00E01A45">
        <w:rPr>
          <w:sz w:val="24"/>
          <w:szCs w:val="24"/>
        </w:rPr>
        <w:t>, including the supporting research. This will include exploration of foundational skills supporting one’s exploration of identity, interculturalism and how to communicate effectively and build relationships. Participants will spend a significant part of the workshop exploring these skills (as well as accompanying awareness and knowledge) and practicing them. Unique to the Framework is the fact that these skills are common to effective advising, inclusive teaching, and mentoring in a research setting. Participants will explore how specific skills then play out in differently in each of the three contexts.</w:t>
      </w:r>
    </w:p>
    <w:p w14:paraId="6B203993" w14:textId="77777777" w:rsidR="00C263A9" w:rsidRPr="00E01A45" w:rsidRDefault="00C263A9" w:rsidP="00C263A9">
      <w:pPr>
        <w:rPr>
          <w:sz w:val="24"/>
          <w:szCs w:val="24"/>
        </w:rPr>
      </w:pPr>
    </w:p>
    <w:p w14:paraId="4E4D9CC2" w14:textId="77777777" w:rsidR="00C263A9" w:rsidRPr="00E01A45" w:rsidRDefault="00C263A9" w:rsidP="00C263A9">
      <w:pPr>
        <w:rPr>
          <w:sz w:val="24"/>
          <w:szCs w:val="24"/>
        </w:rPr>
      </w:pPr>
      <w:r w:rsidRPr="00E01A45">
        <w:rPr>
          <w:sz w:val="24"/>
          <w:szCs w:val="24"/>
        </w:rPr>
        <w:t>For example, deciding which social identities to include when introducing oneself to students is key to building a sense of belongingness (</w:t>
      </w:r>
      <w:proofErr w:type="spellStart"/>
      <w:r w:rsidRPr="00E01A45">
        <w:rPr>
          <w:sz w:val="24"/>
          <w:szCs w:val="24"/>
        </w:rPr>
        <w:t>Tuitt</w:t>
      </w:r>
      <w:proofErr w:type="spellEnd"/>
      <w:r w:rsidRPr="00E01A45">
        <w:rPr>
          <w:sz w:val="24"/>
          <w:szCs w:val="24"/>
        </w:rPr>
        <w:t>, et al. (2018); Hunter, et al. (2019)) and relationship/connection. The social identities (</w:t>
      </w:r>
      <w:r w:rsidRPr="00E01A45">
        <w:rPr>
          <w:i/>
          <w:sz w:val="24"/>
          <w:szCs w:val="24"/>
        </w:rPr>
        <w:t>e.g.,</w:t>
      </w:r>
      <w:r w:rsidRPr="00E01A45">
        <w:rPr>
          <w:sz w:val="24"/>
          <w:szCs w:val="24"/>
        </w:rPr>
        <w:t xml:space="preserve"> gendered pronouns, socio-economic status, first generation college status) one chooses to </w:t>
      </w:r>
      <w:proofErr w:type="spellStart"/>
      <w:r w:rsidRPr="00E01A45">
        <w:rPr>
          <w:sz w:val="24"/>
          <w:szCs w:val="24"/>
        </w:rPr>
        <w:t>to</w:t>
      </w:r>
      <w:proofErr w:type="spellEnd"/>
      <w:r w:rsidRPr="00E01A45">
        <w:rPr>
          <w:sz w:val="24"/>
          <w:szCs w:val="24"/>
        </w:rPr>
        <w:t xml:space="preserve"> include in an introduction may vary in front of the classroom, in a one-on-one advising relationship, and in a mentoring relationship in a research setting. Participants will use an applied improvisation approach (Gillian-Daniel, et al. (2020)) to practice introductions in each context, and then expand their practice to include consideration of self and student identity in the context of advising conversations.</w:t>
      </w:r>
    </w:p>
    <w:p w14:paraId="1283AF19" w14:textId="77777777" w:rsidR="00C263A9" w:rsidRPr="00E01A45" w:rsidRDefault="00C263A9" w:rsidP="00C263A9">
      <w:pPr>
        <w:rPr>
          <w:sz w:val="24"/>
          <w:szCs w:val="24"/>
        </w:rPr>
      </w:pPr>
    </w:p>
    <w:p w14:paraId="60E105C8" w14:textId="77777777" w:rsidR="00C263A9" w:rsidRPr="00E01A45" w:rsidRDefault="00C263A9" w:rsidP="00C263A9">
      <w:pPr>
        <w:rPr>
          <w:sz w:val="24"/>
          <w:szCs w:val="24"/>
        </w:rPr>
      </w:pPr>
      <w:r w:rsidRPr="00E01A45">
        <w:rPr>
          <w:sz w:val="24"/>
          <w:szCs w:val="24"/>
        </w:rPr>
        <w:t xml:space="preserve">Facilitators will model professional development activities for faculty to help them develop advising skills specifically as part of their broader skill set. The workshop will end with participants’ developing a plan for integrating an IFF-based skills training into professional development for current and future faculty on their own campuses. </w:t>
      </w:r>
    </w:p>
    <w:p w14:paraId="33A7B03C" w14:textId="77777777" w:rsidR="00C263A9" w:rsidRPr="00E01A45" w:rsidRDefault="00C263A9" w:rsidP="00C263A9">
      <w:pPr>
        <w:rPr>
          <w:sz w:val="24"/>
          <w:szCs w:val="24"/>
        </w:rPr>
      </w:pPr>
    </w:p>
    <w:p w14:paraId="4320BAD3" w14:textId="77777777" w:rsidR="00C263A9" w:rsidRPr="00E01A45" w:rsidRDefault="00C263A9" w:rsidP="00C263A9">
      <w:pPr>
        <w:rPr>
          <w:sz w:val="24"/>
          <w:szCs w:val="24"/>
        </w:rPr>
      </w:pPr>
    </w:p>
    <w:p w14:paraId="59AC0000" w14:textId="77777777" w:rsidR="00C263A9" w:rsidRPr="00E01A45" w:rsidRDefault="00C263A9" w:rsidP="00C263A9">
      <w:pPr>
        <w:rPr>
          <w:sz w:val="24"/>
          <w:szCs w:val="24"/>
        </w:rPr>
      </w:pPr>
      <w:r w:rsidRPr="00E01A45">
        <w:rPr>
          <w:sz w:val="24"/>
          <w:szCs w:val="24"/>
        </w:rPr>
        <w:t>References</w:t>
      </w:r>
    </w:p>
    <w:p w14:paraId="3688E78D" w14:textId="77777777" w:rsidR="00C263A9" w:rsidRPr="00E01A45" w:rsidRDefault="00C263A9" w:rsidP="00C263A9">
      <w:pPr>
        <w:rPr>
          <w:sz w:val="24"/>
          <w:szCs w:val="24"/>
        </w:rPr>
      </w:pPr>
      <w:r w:rsidRPr="00E01A45">
        <w:rPr>
          <w:sz w:val="24"/>
          <w:szCs w:val="24"/>
        </w:rPr>
        <w:lastRenderedPageBreak/>
        <w:t xml:space="preserve">Gillian‐Daniel, D. L., Petty, E. M., Schmid, M. E., </w:t>
      </w:r>
      <w:proofErr w:type="spellStart"/>
      <w:r w:rsidRPr="00E01A45">
        <w:rPr>
          <w:sz w:val="24"/>
          <w:szCs w:val="24"/>
        </w:rPr>
        <w:t>Stahr</w:t>
      </w:r>
      <w:proofErr w:type="spellEnd"/>
      <w:r w:rsidRPr="00E01A45">
        <w:rPr>
          <w:sz w:val="24"/>
          <w:szCs w:val="24"/>
        </w:rPr>
        <w:t xml:space="preserve">, A., &amp; Raymond, N. C. (2020). Addressing Biases in Health Care by Promoting Inclusive Teaching Practices Among Faculty in Health Professions Education Programs: “Learning to Say the Right Words at the Right Time”. </w:t>
      </w:r>
      <w:r w:rsidRPr="00E01A45">
        <w:rPr>
          <w:i/>
          <w:sz w:val="24"/>
          <w:szCs w:val="24"/>
        </w:rPr>
        <w:t>New Directions for Teaching and Learning</w:t>
      </w:r>
      <w:r w:rsidRPr="00E01A45">
        <w:rPr>
          <w:sz w:val="24"/>
          <w:szCs w:val="24"/>
        </w:rPr>
        <w:t xml:space="preserve">, </w:t>
      </w:r>
      <w:r w:rsidRPr="00E01A45">
        <w:rPr>
          <w:i/>
          <w:sz w:val="24"/>
          <w:szCs w:val="24"/>
        </w:rPr>
        <w:t>2020</w:t>
      </w:r>
      <w:r w:rsidRPr="00E01A45">
        <w:rPr>
          <w:sz w:val="24"/>
          <w:szCs w:val="24"/>
        </w:rPr>
        <w:t>(162), 123-133.</w:t>
      </w:r>
    </w:p>
    <w:p w14:paraId="3D27E71C" w14:textId="77777777" w:rsidR="00C263A9" w:rsidRPr="00E01A45" w:rsidRDefault="00C263A9" w:rsidP="00C263A9">
      <w:pPr>
        <w:rPr>
          <w:rFonts w:ascii="Calibri" w:eastAsia="Calibri" w:hAnsi="Calibri" w:cs="Calibri"/>
          <w:sz w:val="24"/>
          <w:szCs w:val="24"/>
        </w:rPr>
      </w:pPr>
    </w:p>
    <w:p w14:paraId="3EDA03AD" w14:textId="77777777" w:rsidR="00C263A9" w:rsidRPr="00E01A45" w:rsidRDefault="00C263A9" w:rsidP="00C263A9">
      <w:pPr>
        <w:widowControl w:val="0"/>
        <w:rPr>
          <w:sz w:val="24"/>
          <w:szCs w:val="24"/>
        </w:rPr>
      </w:pPr>
      <w:r w:rsidRPr="00E01A45">
        <w:rPr>
          <w:sz w:val="24"/>
          <w:szCs w:val="24"/>
        </w:rPr>
        <w:t xml:space="preserve">Hunter, C. D-A., Case, A. D., &amp; Harvey, I. S. (2019). Black college students’ sense of belonging and racial identity. </w:t>
      </w:r>
      <w:r w:rsidRPr="00E01A45">
        <w:rPr>
          <w:i/>
          <w:sz w:val="24"/>
          <w:szCs w:val="24"/>
        </w:rPr>
        <w:t>International Journal of Inclusive Education</w:t>
      </w:r>
      <w:r w:rsidRPr="00E01A45">
        <w:rPr>
          <w:sz w:val="24"/>
          <w:szCs w:val="24"/>
        </w:rPr>
        <w:t xml:space="preserve">, </w:t>
      </w:r>
      <w:r w:rsidRPr="00E01A45">
        <w:rPr>
          <w:i/>
          <w:sz w:val="24"/>
          <w:szCs w:val="24"/>
        </w:rPr>
        <w:t>23</w:t>
      </w:r>
      <w:r w:rsidRPr="00E01A45">
        <w:rPr>
          <w:sz w:val="24"/>
          <w:szCs w:val="24"/>
        </w:rPr>
        <w:t xml:space="preserve">(9), 950-966. </w:t>
      </w:r>
    </w:p>
    <w:p w14:paraId="4CCBC9E8" w14:textId="77777777" w:rsidR="00C263A9" w:rsidRPr="00E01A45" w:rsidRDefault="00C263A9" w:rsidP="00C263A9">
      <w:pPr>
        <w:widowControl w:val="0"/>
        <w:rPr>
          <w:sz w:val="24"/>
          <w:szCs w:val="24"/>
        </w:rPr>
      </w:pPr>
    </w:p>
    <w:p w14:paraId="410D9CC0" w14:textId="77777777" w:rsidR="00C263A9" w:rsidRPr="00E01A45" w:rsidRDefault="00C263A9" w:rsidP="00C263A9">
      <w:pPr>
        <w:widowControl w:val="0"/>
        <w:rPr>
          <w:sz w:val="24"/>
          <w:szCs w:val="24"/>
        </w:rPr>
      </w:pPr>
      <w:proofErr w:type="spellStart"/>
      <w:r w:rsidRPr="00E01A45">
        <w:rPr>
          <w:sz w:val="24"/>
          <w:szCs w:val="24"/>
        </w:rPr>
        <w:t>Sensoy</w:t>
      </w:r>
      <w:proofErr w:type="spellEnd"/>
      <w:r w:rsidRPr="00E01A45">
        <w:rPr>
          <w:sz w:val="24"/>
          <w:szCs w:val="24"/>
        </w:rPr>
        <w:t xml:space="preserve">, O., </w:t>
      </w:r>
      <w:proofErr w:type="spellStart"/>
      <w:r w:rsidRPr="00E01A45">
        <w:rPr>
          <w:sz w:val="24"/>
          <w:szCs w:val="24"/>
        </w:rPr>
        <w:t>DiAngelo</w:t>
      </w:r>
      <w:proofErr w:type="spellEnd"/>
      <w:r w:rsidRPr="00E01A45">
        <w:rPr>
          <w:sz w:val="24"/>
          <w:szCs w:val="24"/>
        </w:rPr>
        <w:t>, R.  (2014).  Respect differences? Challenging the common guidelines in social justice education. Democracy and Education Journal, 22(2), 1-10</w:t>
      </w:r>
    </w:p>
    <w:p w14:paraId="424358ED" w14:textId="77777777" w:rsidR="00C263A9" w:rsidRPr="00E01A45" w:rsidRDefault="00C263A9" w:rsidP="00C263A9">
      <w:pPr>
        <w:widowControl w:val="0"/>
        <w:rPr>
          <w:sz w:val="24"/>
          <w:szCs w:val="24"/>
        </w:rPr>
      </w:pPr>
    </w:p>
    <w:p w14:paraId="2CB75A82" w14:textId="77777777" w:rsidR="00C263A9" w:rsidRPr="00E01A45" w:rsidRDefault="00C263A9" w:rsidP="00C263A9">
      <w:pPr>
        <w:widowControl w:val="0"/>
        <w:rPr>
          <w:sz w:val="24"/>
          <w:szCs w:val="24"/>
        </w:rPr>
      </w:pPr>
      <w:proofErr w:type="spellStart"/>
      <w:r w:rsidRPr="00E01A45">
        <w:rPr>
          <w:sz w:val="24"/>
          <w:szCs w:val="24"/>
        </w:rPr>
        <w:t>Tuitt</w:t>
      </w:r>
      <w:proofErr w:type="spellEnd"/>
      <w:r w:rsidRPr="00E01A45">
        <w:rPr>
          <w:sz w:val="24"/>
          <w:szCs w:val="24"/>
        </w:rPr>
        <w:t xml:space="preserve">, Frank, </w:t>
      </w:r>
      <w:proofErr w:type="spellStart"/>
      <w:r w:rsidRPr="00E01A45">
        <w:rPr>
          <w:sz w:val="24"/>
          <w:szCs w:val="24"/>
        </w:rPr>
        <w:t>Chayla</w:t>
      </w:r>
      <w:proofErr w:type="spellEnd"/>
      <w:r w:rsidRPr="00E01A45">
        <w:rPr>
          <w:sz w:val="24"/>
          <w:szCs w:val="24"/>
        </w:rPr>
        <w:t xml:space="preserve"> Haynes, and Saran Stewart. "Transforming the classroom at traditionally White institutions to make Black lives matter." </w:t>
      </w:r>
      <w:r w:rsidRPr="00E01A45">
        <w:rPr>
          <w:i/>
          <w:sz w:val="24"/>
          <w:szCs w:val="24"/>
        </w:rPr>
        <w:t>To Improve the Academy</w:t>
      </w:r>
      <w:r w:rsidRPr="00E01A45">
        <w:rPr>
          <w:sz w:val="24"/>
          <w:szCs w:val="24"/>
        </w:rPr>
        <w:t xml:space="preserve"> 37, no. 1 (2018): 63-76.</w:t>
      </w:r>
    </w:p>
    <w:p w14:paraId="111801F9" w14:textId="77777777" w:rsidR="00C263A9" w:rsidRPr="00E01A45" w:rsidRDefault="00C263A9" w:rsidP="00C263A9">
      <w:pPr>
        <w:widowControl w:val="0"/>
        <w:rPr>
          <w:rFonts w:ascii="Calibri" w:eastAsia="Calibri" w:hAnsi="Calibri" w:cs="Calibri"/>
          <w:sz w:val="24"/>
          <w:szCs w:val="24"/>
        </w:rPr>
      </w:pPr>
    </w:p>
    <w:p w14:paraId="611071A4" w14:textId="77777777" w:rsidR="00C263A9" w:rsidRPr="00E01A45" w:rsidRDefault="00C263A9" w:rsidP="00C263A9">
      <w:pPr>
        <w:widowControl w:val="0"/>
        <w:rPr>
          <w:sz w:val="24"/>
          <w:szCs w:val="24"/>
        </w:rPr>
      </w:pPr>
      <w:r w:rsidRPr="00E01A45">
        <w:rPr>
          <w:sz w:val="24"/>
          <w:szCs w:val="24"/>
        </w:rPr>
        <w:t xml:space="preserve">Walton, G. M., &amp; Cohen, G. L. (2011). A brief social-belonging intervention improves academic and health outcomes of minority students. </w:t>
      </w:r>
      <w:r w:rsidRPr="00E01A45">
        <w:rPr>
          <w:i/>
          <w:sz w:val="24"/>
          <w:szCs w:val="24"/>
        </w:rPr>
        <w:t>Science</w:t>
      </w:r>
      <w:r w:rsidRPr="00E01A45">
        <w:rPr>
          <w:sz w:val="24"/>
          <w:szCs w:val="24"/>
        </w:rPr>
        <w:t xml:space="preserve">, </w:t>
      </w:r>
      <w:r w:rsidRPr="00E01A45">
        <w:rPr>
          <w:i/>
          <w:sz w:val="24"/>
          <w:szCs w:val="24"/>
        </w:rPr>
        <w:t>331</w:t>
      </w:r>
      <w:r w:rsidRPr="00E01A45">
        <w:rPr>
          <w:sz w:val="24"/>
          <w:szCs w:val="24"/>
        </w:rPr>
        <w:t>(6023), 1447-1451.</w:t>
      </w:r>
    </w:p>
    <w:p w14:paraId="4EE485A8" w14:textId="77777777" w:rsidR="00C263A9" w:rsidRPr="00E01A45" w:rsidRDefault="00C263A9" w:rsidP="00C263A9">
      <w:pPr>
        <w:rPr>
          <w:sz w:val="24"/>
          <w:szCs w:val="24"/>
        </w:rPr>
      </w:pPr>
    </w:p>
    <w:p w14:paraId="0CA4DE74" w14:textId="77777777" w:rsidR="00C36044" w:rsidRDefault="00C36044"/>
    <w:sectPr w:rsidR="00C3604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3A9"/>
    <w:rsid w:val="00AA2EA5"/>
    <w:rsid w:val="00BF1ABC"/>
    <w:rsid w:val="00C263A9"/>
    <w:rsid w:val="00C3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46510C"/>
  <w15:chartTrackingRefBased/>
  <w15:docId w15:val="{352F84BD-D21C-974F-A80D-92B2753C4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3A9"/>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3013</Characters>
  <Application>Microsoft Office Word</Application>
  <DocSecurity>0</DocSecurity>
  <Lines>25</Lines>
  <Paragraphs>7</Paragraphs>
  <ScaleCrop>false</ScaleCrop>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Bridgen</dc:creator>
  <cp:keywords/>
  <dc:description/>
  <cp:lastModifiedBy>Sean Bridgen</cp:lastModifiedBy>
  <cp:revision>1</cp:revision>
  <dcterms:created xsi:type="dcterms:W3CDTF">2020-08-13T17:16:00Z</dcterms:created>
  <dcterms:modified xsi:type="dcterms:W3CDTF">2020-08-13T17:17:00Z</dcterms:modified>
</cp:coreProperties>
</file>