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C6D32" w14:textId="379C98A6" w:rsidR="00D02AD1" w:rsidRPr="00366B53" w:rsidRDefault="00FA6E33" w:rsidP="00366B53">
      <w:pPr>
        <w:rPr>
          <w:rFonts w:asciiTheme="majorBidi" w:hAnsiTheme="majorBidi" w:cstheme="majorBidi"/>
          <w:b/>
          <w:bCs/>
          <w:iCs/>
        </w:rPr>
      </w:pPr>
      <w:r w:rsidRPr="00042CFB">
        <w:rPr>
          <w:rFonts w:asciiTheme="majorBidi" w:hAnsiTheme="majorBidi" w:cstheme="majorBidi"/>
          <w:b/>
          <w:bCs/>
          <w:iCs/>
        </w:rPr>
        <w:t>Title</w:t>
      </w:r>
      <w:r w:rsidR="00366B53">
        <w:rPr>
          <w:rFonts w:asciiTheme="majorBidi" w:hAnsiTheme="majorBidi" w:cstheme="majorBidi"/>
          <w:b/>
          <w:bCs/>
          <w:iCs/>
        </w:rPr>
        <w:t xml:space="preserve">: </w:t>
      </w:r>
      <w:bookmarkStart w:id="0" w:name="_GoBack"/>
      <w:r w:rsidR="005C4DCB" w:rsidRPr="00042CFB">
        <w:rPr>
          <w:rFonts w:asciiTheme="majorBidi" w:hAnsiTheme="majorBidi" w:cstheme="majorBidi"/>
        </w:rPr>
        <w:t>Shifting the Culture through Strategic Moves and Hires</w:t>
      </w:r>
      <w:bookmarkEnd w:id="0"/>
    </w:p>
    <w:p w14:paraId="7D090B80" w14:textId="77777777" w:rsidR="00207ECD" w:rsidRPr="00042CFB" w:rsidRDefault="00207ECD" w:rsidP="000A6416">
      <w:pPr>
        <w:rPr>
          <w:rFonts w:asciiTheme="majorBidi" w:hAnsiTheme="majorBidi" w:cstheme="majorBidi"/>
          <w:b/>
          <w:bCs/>
        </w:rPr>
      </w:pPr>
    </w:p>
    <w:p w14:paraId="72068F15" w14:textId="0915CDDE" w:rsidR="00A80599" w:rsidRPr="00042CFB" w:rsidRDefault="00D02AD1" w:rsidP="000A6416">
      <w:pPr>
        <w:rPr>
          <w:rFonts w:asciiTheme="majorBidi" w:hAnsiTheme="majorBidi" w:cstheme="majorBidi"/>
        </w:rPr>
      </w:pPr>
      <w:r w:rsidRPr="00042CFB">
        <w:rPr>
          <w:rFonts w:asciiTheme="majorBidi" w:hAnsiTheme="majorBidi" w:cstheme="majorBidi"/>
          <w:b/>
          <w:bCs/>
        </w:rPr>
        <w:t>Presentation Abstract</w:t>
      </w:r>
      <w:r w:rsidR="00A80599" w:rsidRPr="00042CFB">
        <w:rPr>
          <w:rFonts w:asciiTheme="majorBidi" w:hAnsiTheme="majorBidi" w:cstheme="majorBidi"/>
          <w:b/>
          <w:bCs/>
        </w:rPr>
        <w:t xml:space="preserve">: </w:t>
      </w:r>
    </w:p>
    <w:p w14:paraId="6AEDD2F4" w14:textId="3519E93E" w:rsidR="00E406EB" w:rsidRDefault="00827B68" w:rsidP="00E406EB">
      <w:pPr>
        <w:ind w:left="720"/>
        <w:rPr>
          <w:rFonts w:asciiTheme="majorBidi" w:hAnsiTheme="majorBidi" w:cstheme="majorBidi"/>
        </w:rPr>
      </w:pPr>
      <w:r w:rsidRPr="00042CFB">
        <w:rPr>
          <w:rFonts w:asciiTheme="majorBidi" w:hAnsiTheme="majorBidi" w:cstheme="majorBidi"/>
        </w:rPr>
        <w:t>Wondering how to motivate faculty to be the drivers for building</w:t>
      </w:r>
      <w:r w:rsidR="00D02AD1" w:rsidRPr="00042CFB">
        <w:rPr>
          <w:rFonts w:asciiTheme="majorBidi" w:hAnsiTheme="majorBidi" w:cstheme="majorBidi"/>
        </w:rPr>
        <w:t xml:space="preserve"> and maintaining</w:t>
      </w:r>
      <w:r w:rsidRPr="00042CFB">
        <w:rPr>
          <w:rFonts w:asciiTheme="majorBidi" w:hAnsiTheme="majorBidi" w:cstheme="majorBidi"/>
        </w:rPr>
        <w:t xml:space="preserve"> an assessment system that works? </w:t>
      </w:r>
      <w:r w:rsidR="00D02AD1" w:rsidRPr="00042CFB">
        <w:rPr>
          <w:rFonts w:asciiTheme="majorBidi" w:hAnsiTheme="majorBidi" w:cstheme="majorBidi"/>
        </w:rPr>
        <w:t>Join this session to consider how</w:t>
      </w:r>
      <w:r w:rsidRPr="00042CFB">
        <w:rPr>
          <w:rFonts w:asciiTheme="majorBidi" w:hAnsiTheme="majorBidi" w:cstheme="majorBidi"/>
        </w:rPr>
        <w:t xml:space="preserve"> </w:t>
      </w:r>
      <w:r w:rsidR="00D02AD1" w:rsidRPr="00042CFB">
        <w:rPr>
          <w:rFonts w:asciiTheme="majorBidi" w:hAnsiTheme="majorBidi" w:cstheme="majorBidi"/>
        </w:rPr>
        <w:t>to make strategic moves and hires</w:t>
      </w:r>
      <w:r w:rsidRPr="00042CFB">
        <w:rPr>
          <w:rFonts w:asciiTheme="majorBidi" w:hAnsiTheme="majorBidi" w:cstheme="majorBidi"/>
        </w:rPr>
        <w:t xml:space="preserve"> </w:t>
      </w:r>
      <w:r w:rsidR="00D02AD1" w:rsidRPr="00042CFB">
        <w:rPr>
          <w:rFonts w:asciiTheme="majorBidi" w:hAnsiTheme="majorBidi" w:cstheme="majorBidi"/>
        </w:rPr>
        <w:t xml:space="preserve">designed to have faculty own </w:t>
      </w:r>
      <w:r w:rsidRPr="00042CFB">
        <w:rPr>
          <w:rFonts w:asciiTheme="majorBidi" w:hAnsiTheme="majorBidi" w:cstheme="majorBidi"/>
        </w:rPr>
        <w:t>data and view assessment as a vital part of the faculty role</w:t>
      </w:r>
      <w:r w:rsidR="00E406EB">
        <w:rPr>
          <w:rFonts w:asciiTheme="majorBidi" w:hAnsiTheme="majorBidi" w:cstheme="majorBidi"/>
        </w:rPr>
        <w:t>.</w:t>
      </w:r>
    </w:p>
    <w:p w14:paraId="619EEBB3" w14:textId="77777777" w:rsidR="00E406EB" w:rsidRDefault="00E406EB" w:rsidP="00E406EB">
      <w:pPr>
        <w:ind w:left="720"/>
        <w:rPr>
          <w:rFonts w:asciiTheme="majorBidi" w:hAnsiTheme="majorBidi" w:cstheme="majorBidi"/>
        </w:rPr>
      </w:pPr>
    </w:p>
    <w:p w14:paraId="28C52F62" w14:textId="2FB79805" w:rsidR="00E406EB" w:rsidRPr="00E406EB" w:rsidRDefault="00E406EB" w:rsidP="00E406EB">
      <w:pPr>
        <w:rPr>
          <w:rFonts w:asciiTheme="majorBidi" w:hAnsiTheme="majorBidi" w:cstheme="majorBidi"/>
          <w:b/>
          <w:bCs/>
        </w:rPr>
      </w:pPr>
      <w:r w:rsidRPr="00E406EB">
        <w:rPr>
          <w:rFonts w:asciiTheme="majorBidi" w:hAnsiTheme="majorBidi" w:cstheme="majorBidi"/>
          <w:b/>
          <w:bCs/>
        </w:rPr>
        <w:t xml:space="preserve">Presentation Description: </w:t>
      </w:r>
    </w:p>
    <w:p w14:paraId="1341A23C" w14:textId="410921E2" w:rsidR="00207ECD" w:rsidRPr="00042CFB" w:rsidRDefault="00620A2E" w:rsidP="00207ECD">
      <w:pPr>
        <w:ind w:left="720"/>
        <w:rPr>
          <w:rFonts w:asciiTheme="majorBidi" w:hAnsiTheme="majorBidi" w:cstheme="majorBidi"/>
        </w:rPr>
      </w:pPr>
      <w:r w:rsidRPr="00042CFB">
        <w:rPr>
          <w:rFonts w:asciiTheme="majorBidi" w:hAnsiTheme="majorBidi" w:cstheme="majorBidi"/>
        </w:rPr>
        <w:t xml:space="preserve">Five years ago our department was under intense pressure </w:t>
      </w:r>
      <w:r w:rsidR="000305BC" w:rsidRPr="00042CFB">
        <w:rPr>
          <w:rFonts w:asciiTheme="majorBidi" w:hAnsiTheme="majorBidi" w:cstheme="majorBidi"/>
        </w:rPr>
        <w:t xml:space="preserve">to </w:t>
      </w:r>
      <w:r w:rsidRPr="00042CFB">
        <w:rPr>
          <w:rFonts w:asciiTheme="majorBidi" w:hAnsiTheme="majorBidi" w:cstheme="majorBidi"/>
        </w:rPr>
        <w:t xml:space="preserve">meet new accreditation </w:t>
      </w:r>
      <w:r w:rsidR="00042CFB" w:rsidRPr="00042CFB">
        <w:rPr>
          <w:rFonts w:asciiTheme="majorBidi" w:hAnsiTheme="majorBidi" w:cstheme="majorBidi"/>
        </w:rPr>
        <w:t xml:space="preserve">standards at the same time we were losing a large number of retiring faculty. </w:t>
      </w:r>
      <w:r w:rsidR="00042CFB">
        <w:rPr>
          <w:rFonts w:asciiTheme="majorBidi" w:hAnsiTheme="majorBidi" w:cstheme="majorBidi"/>
        </w:rPr>
        <w:t xml:space="preserve">Five years later we have 15 of our 30 faculty members who are new to the department, we’ve created a thriving assessment system for student outcomes, and we’ve been recognized </w:t>
      </w:r>
      <w:r w:rsidR="00E406EB">
        <w:rPr>
          <w:rFonts w:asciiTheme="majorBidi" w:hAnsiTheme="majorBidi" w:cstheme="majorBidi"/>
        </w:rPr>
        <w:t>regionally</w:t>
      </w:r>
      <w:r w:rsidR="00042CFB">
        <w:rPr>
          <w:rFonts w:asciiTheme="majorBidi" w:hAnsiTheme="majorBidi" w:cstheme="majorBidi"/>
        </w:rPr>
        <w:t xml:space="preserve"> and nationally for our progressive approach. </w:t>
      </w:r>
      <w:r w:rsidR="00207ECD" w:rsidRPr="00042CFB">
        <w:rPr>
          <w:rFonts w:asciiTheme="majorBidi" w:hAnsiTheme="majorBidi" w:cstheme="majorBidi"/>
        </w:rPr>
        <w:t xml:space="preserve">The power of our professional community relies on faculty collaboration of data ownership as </w:t>
      </w:r>
      <w:r w:rsidR="00207ECD">
        <w:rPr>
          <w:rFonts w:asciiTheme="majorBidi" w:hAnsiTheme="majorBidi" w:cstheme="majorBidi"/>
        </w:rPr>
        <w:t>higher education</w:t>
      </w:r>
      <w:r w:rsidR="00207ECD" w:rsidRPr="00042CFB">
        <w:rPr>
          <w:rFonts w:asciiTheme="majorBidi" w:hAnsiTheme="majorBidi" w:cstheme="majorBidi"/>
        </w:rPr>
        <w:t xml:space="preserve"> moves toward a focus on programs rooted in a culture of evidence. </w:t>
      </w:r>
      <w:r w:rsidR="00E406EB">
        <w:rPr>
          <w:rFonts w:asciiTheme="majorBidi" w:hAnsiTheme="majorBidi" w:cstheme="majorBidi"/>
        </w:rPr>
        <w:t>What change management techniques helped us move toward our new identity?</w:t>
      </w:r>
      <w:r w:rsidR="00207ECD">
        <w:rPr>
          <w:rFonts w:asciiTheme="majorBidi" w:hAnsiTheme="majorBidi" w:cstheme="majorBidi"/>
        </w:rPr>
        <w:t xml:space="preserve"> </w:t>
      </w:r>
      <w:r w:rsidR="00E406EB" w:rsidRPr="00042CFB">
        <w:rPr>
          <w:rFonts w:asciiTheme="majorBidi" w:hAnsiTheme="majorBidi" w:cstheme="majorBidi"/>
        </w:rPr>
        <w:t xml:space="preserve">How do the faculty in dynamic programs collaborate to measure teacher candidate learning? Who owns the data and how can a program move from a collection of talented individuals toward a collaborative model where faculty are the drivers of programmatic change? </w:t>
      </w:r>
      <w:r w:rsidR="00207ECD">
        <w:rPr>
          <w:rFonts w:asciiTheme="majorBidi" w:hAnsiTheme="majorBidi" w:cstheme="majorBidi"/>
        </w:rPr>
        <w:t>This presentation will share</w:t>
      </w:r>
      <w:r w:rsidR="00207ECD" w:rsidRPr="00207ECD">
        <w:rPr>
          <w:rFonts w:asciiTheme="majorBidi" w:hAnsiTheme="majorBidi" w:cstheme="majorBidi"/>
        </w:rPr>
        <w:t xml:space="preserve"> strategies used to manage a change from individuals doing good work to teams creating and validating rubrics measuring teacher candidate effectiveness. Participants will see how one program transitioned from using key assessments managed by an administrative team to having faculty own the data and view assessment as </w:t>
      </w:r>
      <w:proofErr w:type="spellStart"/>
      <w:r w:rsidR="00207ECD" w:rsidRPr="00207ECD">
        <w:rPr>
          <w:rFonts w:asciiTheme="majorBidi" w:hAnsiTheme="majorBidi" w:cstheme="majorBidi"/>
          <w:i/>
        </w:rPr>
        <w:t>WhatWE</w:t>
      </w:r>
      <w:proofErr w:type="spellEnd"/>
      <w:r w:rsidR="00207ECD" w:rsidRPr="00207ECD">
        <w:rPr>
          <w:rFonts w:asciiTheme="majorBidi" w:hAnsiTheme="majorBidi" w:cstheme="majorBidi"/>
          <w:i/>
        </w:rPr>
        <w:t xml:space="preserve"> DO</w:t>
      </w:r>
      <w:r w:rsidR="00207ECD" w:rsidRPr="00207ECD">
        <w:rPr>
          <w:rFonts w:asciiTheme="majorBidi" w:hAnsiTheme="majorBidi" w:cstheme="majorBidi"/>
        </w:rPr>
        <w:t xml:space="preserve"> (see Figure 1). In addition, participants will walk away with both the process and the products we created to measure teacher candidates’ knowledge, skills and dispositions as they work with P-12 students both prior to and during clinical practice.</w:t>
      </w:r>
    </w:p>
    <w:p w14:paraId="5163897E" w14:textId="77777777" w:rsidR="00E406EB" w:rsidRDefault="00E406EB" w:rsidP="00E406EB">
      <w:pPr>
        <w:ind w:left="720"/>
        <w:rPr>
          <w:rFonts w:asciiTheme="majorBidi" w:hAnsiTheme="majorBidi" w:cstheme="majorBidi"/>
        </w:rPr>
      </w:pPr>
    </w:p>
    <w:p w14:paraId="655AB639" w14:textId="4FBB45F3" w:rsidR="00E406EB" w:rsidRPr="00042CFB" w:rsidRDefault="00366B53" w:rsidP="00366B53">
      <w:pPr>
        <w:ind w:left="720"/>
        <w:rPr>
          <w:rFonts w:asciiTheme="majorBidi" w:hAnsiTheme="majorBidi" w:cstheme="majorBidi"/>
        </w:rPr>
      </w:pPr>
      <w:r>
        <w:rPr>
          <w:rFonts w:asciiTheme="majorBidi" w:hAnsiTheme="majorBidi" w:cstheme="majorBidi"/>
        </w:rPr>
        <w:t>Participants in this</w:t>
      </w:r>
      <w:r w:rsidR="00E406EB">
        <w:rPr>
          <w:rFonts w:asciiTheme="majorBidi" w:hAnsiTheme="majorBidi" w:cstheme="majorBidi"/>
        </w:rPr>
        <w:t xml:space="preserve"> session </w:t>
      </w:r>
      <w:r>
        <w:rPr>
          <w:rFonts w:asciiTheme="majorBidi" w:hAnsiTheme="majorBidi" w:cstheme="majorBidi"/>
        </w:rPr>
        <w:t xml:space="preserve">will have an opportunity to consider how they </w:t>
      </w:r>
      <w:r w:rsidR="00E406EB">
        <w:rPr>
          <w:rFonts w:asciiTheme="majorBidi" w:hAnsiTheme="majorBidi" w:cstheme="majorBidi"/>
        </w:rPr>
        <w:t>are managing changing dynam</w:t>
      </w:r>
      <w:r>
        <w:rPr>
          <w:rFonts w:asciiTheme="majorBidi" w:hAnsiTheme="majorBidi" w:cstheme="majorBidi"/>
        </w:rPr>
        <w:t>ics in their own department as they hear</w:t>
      </w:r>
      <w:r w:rsidR="00E406EB" w:rsidRPr="00042CFB">
        <w:rPr>
          <w:rFonts w:asciiTheme="majorBidi" w:hAnsiTheme="majorBidi" w:cstheme="majorBidi"/>
        </w:rPr>
        <w:t xml:space="preserve"> strategies a Teacher Education Department used to manage the change process for faculty who were focused on their own agendas more than program development. </w:t>
      </w:r>
      <w:r>
        <w:rPr>
          <w:rFonts w:asciiTheme="majorBidi" w:hAnsiTheme="majorBidi" w:cstheme="majorBidi"/>
        </w:rPr>
        <w:t xml:space="preserve">This presentation will </w:t>
      </w:r>
      <w:r w:rsidR="00E406EB" w:rsidRPr="00042CFB">
        <w:rPr>
          <w:rFonts w:asciiTheme="majorBidi" w:hAnsiTheme="majorBidi" w:cstheme="majorBidi"/>
        </w:rPr>
        <w:t xml:space="preserve">use engagement techniques to help </w:t>
      </w:r>
      <w:r w:rsidR="00E406EB">
        <w:rPr>
          <w:rFonts w:asciiTheme="majorBidi" w:hAnsiTheme="majorBidi" w:cstheme="majorBidi"/>
        </w:rPr>
        <w:t>those attending</w:t>
      </w:r>
      <w:r w:rsidR="00E406EB" w:rsidRPr="00042CFB">
        <w:rPr>
          <w:rFonts w:asciiTheme="majorBidi" w:hAnsiTheme="majorBidi" w:cstheme="majorBidi"/>
        </w:rPr>
        <w:t xml:space="preserve"> see who else in the room has used similar strategies and how those strategies have fostered collaboration for program development, ownership and assessment.</w:t>
      </w:r>
      <w:r w:rsidR="00E406EB">
        <w:rPr>
          <w:rFonts w:asciiTheme="majorBidi" w:hAnsiTheme="majorBidi" w:cstheme="majorBidi"/>
        </w:rPr>
        <w:t xml:space="preserve"> </w:t>
      </w:r>
      <w:r w:rsidR="00E406EB" w:rsidRPr="00042CFB">
        <w:rPr>
          <w:rFonts w:asciiTheme="majorBidi" w:hAnsiTheme="majorBidi" w:cstheme="majorBidi"/>
        </w:rPr>
        <w:t xml:space="preserve">Participants will receive a map to go from using key assessments managed by administration to having faculty own the data and view assessment as </w:t>
      </w:r>
      <w:r w:rsidR="00E406EB" w:rsidRPr="00042CFB">
        <w:rPr>
          <w:rFonts w:asciiTheme="majorBidi" w:hAnsiTheme="majorBidi" w:cstheme="majorBidi"/>
          <w:i/>
        </w:rPr>
        <w:t>What WE DO</w:t>
      </w:r>
      <w:r w:rsidR="00E406EB">
        <w:rPr>
          <w:rFonts w:asciiTheme="majorBidi" w:hAnsiTheme="majorBidi" w:cstheme="majorBidi"/>
        </w:rPr>
        <w:t>.</w:t>
      </w:r>
      <w:r w:rsidR="00E406EB" w:rsidRPr="00042CFB">
        <w:rPr>
          <w:rFonts w:asciiTheme="majorBidi" w:hAnsiTheme="majorBidi" w:cstheme="majorBidi"/>
        </w:rPr>
        <w:t xml:space="preserve"> Participants will consider both the process and the products created to measure teacher candidates’ knowledge, skills and dispositions both during clinical practice, as well as during the three semesters prior to clinical practice when teacher candidates are working in partner school classrooms. </w:t>
      </w:r>
      <w:r w:rsidR="00E406EB">
        <w:rPr>
          <w:rFonts w:asciiTheme="majorBidi" w:hAnsiTheme="majorBidi" w:cstheme="majorBidi"/>
        </w:rPr>
        <w:t xml:space="preserve">This is a chance to </w:t>
      </w:r>
      <w:r w:rsidR="00207ECD">
        <w:rPr>
          <w:rFonts w:asciiTheme="majorBidi" w:hAnsiTheme="majorBidi" w:cstheme="majorBidi"/>
        </w:rPr>
        <w:t>talk with others to consider how</w:t>
      </w:r>
      <w:r w:rsidR="00E406EB">
        <w:rPr>
          <w:rFonts w:asciiTheme="majorBidi" w:hAnsiTheme="majorBidi" w:cstheme="majorBidi"/>
        </w:rPr>
        <w:t xml:space="preserve"> you can move your faculty and</w:t>
      </w:r>
      <w:r w:rsidR="00207ECD">
        <w:rPr>
          <w:rFonts w:asciiTheme="majorBidi" w:hAnsiTheme="majorBidi" w:cstheme="majorBidi"/>
        </w:rPr>
        <w:t xml:space="preserve"> department to the next level.</w:t>
      </w:r>
    </w:p>
    <w:p w14:paraId="71437642" w14:textId="77777777" w:rsidR="00D02AD1" w:rsidRPr="00042CFB" w:rsidRDefault="00D02AD1" w:rsidP="00827B68">
      <w:pPr>
        <w:ind w:left="720"/>
        <w:rPr>
          <w:rFonts w:asciiTheme="majorBidi" w:hAnsiTheme="majorBidi" w:cstheme="majorBidi"/>
        </w:rPr>
      </w:pPr>
    </w:p>
    <w:p w14:paraId="441CA46F" w14:textId="54144160" w:rsidR="00D02AD1" w:rsidRPr="00E406EB" w:rsidRDefault="00366B53" w:rsidP="00E406EB">
      <w:r>
        <w:rPr>
          <w:b/>
          <w:bCs/>
        </w:rPr>
        <w:lastRenderedPageBreak/>
        <w:t>Presentation Summary:</w:t>
      </w:r>
      <w:r w:rsidR="00E406EB" w:rsidRPr="00B97D9C">
        <w:rPr>
          <w:b/>
          <w:bCs/>
        </w:rPr>
        <w:t xml:space="preserve"> </w:t>
      </w:r>
    </w:p>
    <w:p w14:paraId="19DD03E1" w14:textId="77777777" w:rsidR="00D02AD1" w:rsidRPr="00042CFB" w:rsidRDefault="00D02AD1" w:rsidP="00827B68">
      <w:pPr>
        <w:ind w:left="720"/>
        <w:rPr>
          <w:rFonts w:asciiTheme="majorBidi" w:hAnsiTheme="majorBidi" w:cstheme="majorBidi"/>
        </w:rPr>
      </w:pPr>
    </w:p>
    <w:p w14:paraId="2E9B0EB1" w14:textId="77777777" w:rsidR="00366B53" w:rsidRPr="00366B53" w:rsidRDefault="00366B53" w:rsidP="00366B53">
      <w:pPr>
        <w:rPr>
          <w:rFonts w:asciiTheme="majorBidi" w:hAnsiTheme="majorBidi" w:cstheme="majorBidi"/>
        </w:rPr>
      </w:pPr>
      <w:r w:rsidRPr="00366B53">
        <w:rPr>
          <w:rFonts w:asciiTheme="majorBidi" w:hAnsiTheme="majorBidi" w:cstheme="majorBidi"/>
        </w:rPr>
        <w:t xml:space="preserve">This presentation shares an uncommon window into how one program gained stakeholder input into this culture shift toward a focus on assessment and away from individual contributions. In doing so, it is our hope that other programs can consider how they might leverage their most precious commodity of talented faculty to create a culture where program assessment is simply what faculty do. As a traditional 4-year undergraduate program with approximately 1200 teacher candidates in elementary, secondary and early childhood inclusive majors, our teacher preparation program has made a radical shift over the past three years toward assessment ownership. By adopting instructional coaches, block scheduling, co-teaching strategies, and using assessment stipends as an incentive, the 30 faculty in the Teacher Education department have embraced a new culture of programmatic ownership and overcome of often documented barriers of faculty participation. In addition to sharing specific strategies that led to faculty participation, this presentation will use participant input to share additional ideas for overcoming the barriers often cited in the research. By sharing both our prizes and problems, we hope to engage in a meaningful discussion of how to promote this culture shift for others in the profession. </w:t>
      </w:r>
    </w:p>
    <w:p w14:paraId="0D8F7B77" w14:textId="77777777" w:rsidR="00366B53" w:rsidRDefault="00366B53" w:rsidP="00366B53">
      <w:pPr>
        <w:rPr>
          <w:rFonts w:asciiTheme="majorBidi" w:hAnsiTheme="majorBidi" w:cstheme="majorBidi"/>
          <w:i/>
          <w:iCs/>
        </w:rPr>
      </w:pPr>
    </w:p>
    <w:p w14:paraId="25E9CA5C" w14:textId="0BE8DC83" w:rsidR="008A584E" w:rsidRPr="00042CFB" w:rsidRDefault="00A80599" w:rsidP="00366B53">
      <w:pPr>
        <w:rPr>
          <w:rFonts w:asciiTheme="majorBidi" w:hAnsiTheme="majorBidi" w:cstheme="majorBidi"/>
        </w:rPr>
      </w:pPr>
      <w:r w:rsidRPr="00366B53">
        <w:rPr>
          <w:rFonts w:asciiTheme="majorBidi" w:hAnsiTheme="majorBidi" w:cstheme="majorBidi"/>
          <w:i/>
          <w:iCs/>
        </w:rPr>
        <w:t>Statement of the issue</w:t>
      </w:r>
      <w:r w:rsidRPr="00366B53">
        <w:rPr>
          <w:rFonts w:asciiTheme="majorBidi" w:hAnsiTheme="majorBidi" w:cstheme="majorBidi"/>
        </w:rPr>
        <w:t xml:space="preserve">: </w:t>
      </w:r>
      <w:r w:rsidR="000A6416" w:rsidRPr="00366B53">
        <w:rPr>
          <w:rFonts w:asciiTheme="majorBidi" w:hAnsiTheme="majorBidi" w:cstheme="majorBidi"/>
        </w:rPr>
        <w:t>The power of our professional community is deeply rooted in the power of our individual teacher preparation programs. Regardless of how the program is structured- five-year programs, graduate-level programs, one-year internships, two-year graduate models, 18 month prog</w:t>
      </w:r>
      <w:r w:rsidR="0038055A" w:rsidRPr="00366B53">
        <w:rPr>
          <w:rFonts w:asciiTheme="majorBidi" w:hAnsiTheme="majorBidi" w:cstheme="majorBidi"/>
        </w:rPr>
        <w:t>rams, and even traditional four-</w:t>
      </w:r>
      <w:r w:rsidR="000A6416" w:rsidRPr="00366B53">
        <w:rPr>
          <w:rFonts w:asciiTheme="majorBidi" w:hAnsiTheme="majorBidi" w:cstheme="majorBidi"/>
        </w:rPr>
        <w:t xml:space="preserve">year undergraduate programs- our teacher preparation programs are </w:t>
      </w:r>
      <w:r w:rsidR="002E068B" w:rsidRPr="00366B53">
        <w:rPr>
          <w:rFonts w:asciiTheme="majorBidi" w:hAnsiTheme="majorBidi" w:cstheme="majorBidi"/>
        </w:rPr>
        <w:t>each focused on evidence</w:t>
      </w:r>
      <w:r w:rsidR="000A6416" w:rsidRPr="00366B53">
        <w:rPr>
          <w:rFonts w:asciiTheme="majorBidi" w:hAnsiTheme="majorBidi" w:cstheme="majorBidi"/>
        </w:rPr>
        <w:t xml:space="preserve"> to measure our impact on PK-12 students. </w:t>
      </w:r>
      <w:r w:rsidR="002E068B" w:rsidRPr="00366B53">
        <w:rPr>
          <w:rFonts w:asciiTheme="majorBidi" w:hAnsiTheme="majorBidi" w:cstheme="majorBidi"/>
        </w:rPr>
        <w:t xml:space="preserve">For this evidence to be thoughtfully gathered, analyzed and used for program improvement, faculty must feel ownership of more than their own course content. </w:t>
      </w:r>
      <w:r w:rsidR="0078341C" w:rsidRPr="00366B53">
        <w:rPr>
          <w:rFonts w:asciiTheme="majorBidi" w:hAnsiTheme="majorBidi" w:cstheme="majorBidi"/>
        </w:rPr>
        <w:t xml:space="preserve">Faculty must feel ownership of the larger program and collaborate with others on both the data collection and the analysis that leads to programmatic changes. </w:t>
      </w:r>
    </w:p>
    <w:p w14:paraId="097C0889" w14:textId="77777777" w:rsidR="00EF3FF3" w:rsidRPr="00042CFB" w:rsidRDefault="00EF3FF3" w:rsidP="00366B53">
      <w:pPr>
        <w:pStyle w:val="ListParagraph"/>
        <w:ind w:left="360"/>
        <w:rPr>
          <w:rFonts w:asciiTheme="majorBidi" w:hAnsiTheme="majorBidi" w:cstheme="majorBidi"/>
        </w:rPr>
      </w:pPr>
    </w:p>
    <w:p w14:paraId="0B92DF3E" w14:textId="090BBA7A" w:rsidR="00EF3FF3" w:rsidRPr="00366B53" w:rsidRDefault="00A80599" w:rsidP="00366B53">
      <w:pPr>
        <w:rPr>
          <w:rFonts w:asciiTheme="majorBidi" w:hAnsiTheme="majorBidi" w:cstheme="majorBidi"/>
        </w:rPr>
      </w:pPr>
      <w:r w:rsidRPr="00366B53">
        <w:rPr>
          <w:rFonts w:asciiTheme="majorBidi" w:hAnsiTheme="majorBidi" w:cstheme="majorBidi"/>
          <w:i/>
          <w:iCs/>
        </w:rPr>
        <w:t>Literature review:</w:t>
      </w:r>
      <w:r w:rsidR="00B97D9C" w:rsidRPr="00366B53">
        <w:rPr>
          <w:rFonts w:asciiTheme="majorBidi" w:hAnsiTheme="majorBidi" w:cstheme="majorBidi"/>
        </w:rPr>
        <w:t xml:space="preserve"> As Cochran-Smith (2009) indicated in her call for teacher preparation programs to adopt cultures of evidence, there has been little discussion on how colleges and universities would undergo this transformation. </w:t>
      </w:r>
      <w:r w:rsidR="00EF3FF3" w:rsidRPr="00366B53">
        <w:rPr>
          <w:rFonts w:asciiTheme="majorBidi" w:hAnsiTheme="majorBidi" w:cstheme="majorBidi"/>
        </w:rPr>
        <w:t>The importance of faculty involvement has been well-documented for decades (</w:t>
      </w:r>
      <w:proofErr w:type="spellStart"/>
      <w:r w:rsidR="00EF3FF3" w:rsidRPr="00366B53">
        <w:rPr>
          <w:rFonts w:asciiTheme="majorBidi" w:hAnsiTheme="majorBidi" w:cstheme="majorBidi"/>
        </w:rPr>
        <w:t>Palomba</w:t>
      </w:r>
      <w:proofErr w:type="spellEnd"/>
      <w:r w:rsidR="00EF3FF3" w:rsidRPr="00366B53">
        <w:rPr>
          <w:rFonts w:asciiTheme="majorBidi" w:hAnsiTheme="majorBidi" w:cstheme="majorBidi"/>
        </w:rPr>
        <w:t xml:space="preserve"> &amp; Banta, 1999; Maki, 2002; </w:t>
      </w:r>
      <w:proofErr w:type="spellStart"/>
      <w:r w:rsidR="00EF3FF3" w:rsidRPr="00366B53">
        <w:rPr>
          <w:rFonts w:asciiTheme="majorBidi" w:hAnsiTheme="majorBidi" w:cstheme="majorBidi"/>
        </w:rPr>
        <w:t>Grunwald</w:t>
      </w:r>
      <w:proofErr w:type="spellEnd"/>
      <w:r w:rsidR="00EF3FF3" w:rsidRPr="00366B53">
        <w:rPr>
          <w:rFonts w:asciiTheme="majorBidi" w:hAnsiTheme="majorBidi" w:cstheme="majorBidi"/>
        </w:rPr>
        <w:t xml:space="preserve"> &amp; Peter</w:t>
      </w:r>
      <w:r w:rsidR="001E4C90" w:rsidRPr="00366B53">
        <w:rPr>
          <w:rFonts w:asciiTheme="majorBidi" w:hAnsiTheme="majorBidi" w:cstheme="majorBidi"/>
        </w:rPr>
        <w:t>s</w:t>
      </w:r>
      <w:r w:rsidR="00EF3FF3" w:rsidRPr="00366B53">
        <w:rPr>
          <w:rFonts w:asciiTheme="majorBidi" w:hAnsiTheme="majorBidi" w:cstheme="majorBidi"/>
        </w:rPr>
        <w:t xml:space="preserve">on, 2003) and recent research (Wang &amp; Hurley, 2012) suggests that it is a lack of motivation, rather than perceived time investment that deters faculty from investing in programmatic assessment. </w:t>
      </w:r>
      <w:r w:rsidR="007002A0" w:rsidRPr="00366B53">
        <w:rPr>
          <w:rFonts w:asciiTheme="majorBidi" w:hAnsiTheme="majorBidi" w:cstheme="majorBidi"/>
        </w:rPr>
        <w:t>Walser (2015) focused on the importance of stakeholder involvement and the use of results in supporting a culture of assessment.</w:t>
      </w:r>
      <w:r w:rsidR="00E406EB" w:rsidRPr="00366B53">
        <w:rPr>
          <w:rFonts w:asciiTheme="majorBidi" w:hAnsiTheme="majorBidi" w:cstheme="majorBidi"/>
        </w:rPr>
        <w:t xml:space="preserve"> </w:t>
      </w:r>
      <w:r w:rsidR="008B282B" w:rsidRPr="00366B53">
        <w:rPr>
          <w:rFonts w:asciiTheme="majorBidi" w:hAnsiTheme="majorBidi" w:cstheme="majorBidi"/>
        </w:rPr>
        <w:t xml:space="preserve">While there has been attention given to </w:t>
      </w:r>
      <w:r w:rsidR="00EF3FF3" w:rsidRPr="00366B53">
        <w:rPr>
          <w:rFonts w:asciiTheme="majorBidi" w:hAnsiTheme="majorBidi" w:cstheme="majorBidi"/>
        </w:rPr>
        <w:t>faculty involvement in assessment</w:t>
      </w:r>
      <w:r w:rsidR="008B282B" w:rsidRPr="00366B53">
        <w:rPr>
          <w:rFonts w:asciiTheme="majorBidi" w:hAnsiTheme="majorBidi" w:cstheme="majorBidi"/>
        </w:rPr>
        <w:t xml:space="preserve">, and even </w:t>
      </w:r>
      <w:r w:rsidR="00EF3FF3" w:rsidRPr="00366B53">
        <w:rPr>
          <w:rFonts w:asciiTheme="majorBidi" w:hAnsiTheme="majorBidi" w:cstheme="majorBidi"/>
        </w:rPr>
        <w:t xml:space="preserve">the involvement of </w:t>
      </w:r>
      <w:r w:rsidR="008B282B" w:rsidRPr="00366B53">
        <w:rPr>
          <w:rFonts w:asciiTheme="majorBidi" w:hAnsiTheme="majorBidi" w:cstheme="majorBidi"/>
        </w:rPr>
        <w:t>adjunct faculty (</w:t>
      </w:r>
      <w:proofErr w:type="spellStart"/>
      <w:r w:rsidR="008B282B" w:rsidRPr="00366B53">
        <w:rPr>
          <w:rFonts w:asciiTheme="majorBidi" w:hAnsiTheme="majorBidi" w:cstheme="majorBidi"/>
        </w:rPr>
        <w:t>Zubrow</w:t>
      </w:r>
      <w:proofErr w:type="spellEnd"/>
      <w:r w:rsidR="008B282B" w:rsidRPr="00366B53">
        <w:rPr>
          <w:rFonts w:asciiTheme="majorBidi" w:hAnsiTheme="majorBidi" w:cstheme="majorBidi"/>
        </w:rPr>
        <w:t>, 2012)</w:t>
      </w:r>
      <w:r w:rsidR="00EF3FF3" w:rsidRPr="00366B53">
        <w:rPr>
          <w:rFonts w:asciiTheme="majorBidi" w:hAnsiTheme="majorBidi" w:cstheme="majorBidi"/>
        </w:rPr>
        <w:t xml:space="preserve"> in assessment</w:t>
      </w:r>
      <w:r w:rsidR="008B282B" w:rsidRPr="00366B53">
        <w:rPr>
          <w:rFonts w:asciiTheme="majorBidi" w:hAnsiTheme="majorBidi" w:cstheme="majorBidi"/>
        </w:rPr>
        <w:t>, little has focused on how pro</w:t>
      </w:r>
      <w:r w:rsidR="007002A0" w:rsidRPr="00366B53">
        <w:rPr>
          <w:rFonts w:asciiTheme="majorBidi" w:hAnsiTheme="majorBidi" w:cstheme="majorBidi"/>
        </w:rPr>
        <w:t>grams unify around faculty investmen</w:t>
      </w:r>
      <w:r w:rsidR="008B282B" w:rsidRPr="00366B53">
        <w:rPr>
          <w:rFonts w:asciiTheme="majorBidi" w:hAnsiTheme="majorBidi" w:cstheme="majorBidi"/>
        </w:rPr>
        <w:t xml:space="preserve">t as </w:t>
      </w:r>
      <w:r w:rsidR="007002A0" w:rsidRPr="00366B53">
        <w:rPr>
          <w:rFonts w:asciiTheme="majorBidi" w:hAnsiTheme="majorBidi" w:cstheme="majorBidi"/>
        </w:rPr>
        <w:t xml:space="preserve">programs </w:t>
      </w:r>
      <w:r w:rsidR="008B282B" w:rsidRPr="00366B53">
        <w:rPr>
          <w:rFonts w:asciiTheme="majorBidi" w:hAnsiTheme="majorBidi" w:cstheme="majorBidi"/>
        </w:rPr>
        <w:t xml:space="preserve">undergo the transformation necessary for all faculty to see assessment as what they do. </w:t>
      </w:r>
    </w:p>
    <w:p w14:paraId="5F0B37F7" w14:textId="77777777" w:rsidR="00207ECD" w:rsidRPr="00042CFB" w:rsidRDefault="00207ECD" w:rsidP="00366B53">
      <w:pPr>
        <w:ind w:left="360"/>
        <w:rPr>
          <w:rFonts w:asciiTheme="majorBidi" w:hAnsiTheme="majorBidi" w:cstheme="majorBidi"/>
        </w:rPr>
      </w:pPr>
    </w:p>
    <w:p w14:paraId="1FA8E86C" w14:textId="64181BA1" w:rsidR="00EF3FF3" w:rsidRPr="00366B53" w:rsidRDefault="00A80599" w:rsidP="00366B53">
      <w:pPr>
        <w:rPr>
          <w:rFonts w:asciiTheme="majorBidi" w:hAnsiTheme="majorBidi" w:cstheme="majorBidi"/>
        </w:rPr>
      </w:pPr>
      <w:r w:rsidRPr="00366B53">
        <w:rPr>
          <w:rFonts w:asciiTheme="majorBidi" w:hAnsiTheme="majorBidi" w:cstheme="majorBidi"/>
          <w:i/>
          <w:iCs/>
        </w:rPr>
        <w:t>Contribution:</w:t>
      </w:r>
      <w:r w:rsidR="00B97D9C" w:rsidRPr="00366B53">
        <w:rPr>
          <w:rFonts w:asciiTheme="majorBidi" w:hAnsiTheme="majorBidi" w:cstheme="majorBidi"/>
        </w:rPr>
        <w:t xml:space="preserve"> </w:t>
      </w:r>
      <w:r w:rsidR="00C16902" w:rsidRPr="00366B53">
        <w:rPr>
          <w:rFonts w:asciiTheme="majorBidi" w:hAnsiTheme="majorBidi" w:cstheme="majorBidi"/>
        </w:rPr>
        <w:t xml:space="preserve">Successful programs must have much more than outstanding individuals doing their own teaching and research. To be an exemplary teacher training institution, everyone must see themselves as part of the program and therefore personally integrated into the full assessment cycle. Faculty must own data as they move away from teaching a </w:t>
      </w:r>
      <w:r w:rsidR="00C16902" w:rsidRPr="00366B53">
        <w:rPr>
          <w:rFonts w:asciiTheme="majorBidi" w:hAnsiTheme="majorBidi" w:cstheme="majorBidi"/>
        </w:rPr>
        <w:lastRenderedPageBreak/>
        <w:t>single course toward teaching in collaboration with others who also use the data to inform their teaching. Many teacher preparation programs are struggling to move from the model of an administrative team pulling together data and preparing documents for accreditation toward a model of faculty owning the instruments and data they are using for course level and programmatic data used to inform practice on a semester by semester basis rather than waiting seven years for the next accreditation cycle to prompt change. While many resources have provided information on expectations for meeting assessment standards and measurement tools, institutions need support in managing the changes needed to move faculty toward operating in a culture of assessment. Our PK-12 partners have adapted to this model but colleges of education are challenged with operating under similar increased accountability for student achievement while operating in a higher education environment founded on the basic principle of academic freedom and a tenure process favoring individual accomplishment. In addition to sharing valid tools, we need to talk o</w:t>
      </w:r>
      <w:r w:rsidR="00366B53">
        <w:rPr>
          <w:rFonts w:asciiTheme="majorBidi" w:hAnsiTheme="majorBidi" w:cstheme="majorBidi"/>
        </w:rPr>
        <w:t xml:space="preserve">penly about how we get faculty and department chairpersons </w:t>
      </w:r>
      <w:r w:rsidR="00C16902" w:rsidRPr="00366B53">
        <w:rPr>
          <w:rFonts w:asciiTheme="majorBidi" w:hAnsiTheme="majorBidi" w:cstheme="majorBidi"/>
        </w:rPr>
        <w:t>to collaborate on behalf of our students.  This session will integrate both the process and the products of collaboration.</w:t>
      </w:r>
      <w:r w:rsidR="007002A0" w:rsidRPr="00366B53">
        <w:rPr>
          <w:rFonts w:asciiTheme="majorBidi" w:hAnsiTheme="majorBidi" w:cstheme="majorBidi"/>
        </w:rPr>
        <w:t xml:space="preserve"> </w:t>
      </w:r>
    </w:p>
    <w:p w14:paraId="589C0AD0" w14:textId="77777777" w:rsidR="00E406EB" w:rsidRDefault="00E406EB" w:rsidP="001C0856">
      <w:pPr>
        <w:rPr>
          <w:rFonts w:asciiTheme="majorBidi" w:eastAsia="Times New Roman" w:hAnsiTheme="majorBidi" w:cstheme="majorBidi"/>
        </w:rPr>
      </w:pPr>
    </w:p>
    <w:p w14:paraId="2702D3C2" w14:textId="51A8D228" w:rsidR="00385804" w:rsidRPr="00042CFB" w:rsidRDefault="00385804" w:rsidP="001C0856">
      <w:pPr>
        <w:rPr>
          <w:rFonts w:asciiTheme="majorBidi" w:eastAsia="Times New Roman" w:hAnsiTheme="majorBidi" w:cstheme="majorBidi"/>
        </w:rPr>
      </w:pPr>
      <w:r w:rsidRPr="00042CFB">
        <w:rPr>
          <w:rFonts w:asciiTheme="majorBidi" w:eastAsia="Times New Roman" w:hAnsiTheme="majorBidi" w:cstheme="majorBidi"/>
        </w:rPr>
        <w:t>References</w:t>
      </w:r>
    </w:p>
    <w:p w14:paraId="328273FF" w14:textId="77777777" w:rsidR="00385804" w:rsidRPr="00042CFB" w:rsidRDefault="00385804" w:rsidP="001C0856">
      <w:pPr>
        <w:rPr>
          <w:rFonts w:asciiTheme="majorBidi" w:hAnsiTheme="majorBidi" w:cstheme="majorBidi"/>
          <w:i/>
        </w:rPr>
      </w:pPr>
    </w:p>
    <w:p w14:paraId="0F66D2C5" w14:textId="31130A71" w:rsidR="00B97D9C" w:rsidRPr="00042CFB" w:rsidRDefault="00B97D9C" w:rsidP="0027268E">
      <w:pPr>
        <w:rPr>
          <w:rFonts w:asciiTheme="majorBidi" w:eastAsia="Times New Roman" w:hAnsiTheme="majorBidi" w:cstheme="majorBidi"/>
          <w:color w:val="222222"/>
          <w:shd w:val="clear" w:color="auto" w:fill="FFFFFF"/>
        </w:rPr>
      </w:pPr>
      <w:r w:rsidRPr="00042CFB">
        <w:rPr>
          <w:rFonts w:asciiTheme="majorBidi" w:eastAsia="Times New Roman" w:hAnsiTheme="majorBidi" w:cstheme="majorBidi"/>
          <w:color w:val="222222"/>
          <w:shd w:val="clear" w:color="auto" w:fill="FFFFFF"/>
        </w:rPr>
        <w:t xml:space="preserve">Cochran-Smith, M. (2009). “Re-culturing” teacher education: Inquiry, evidence and action. </w:t>
      </w:r>
      <w:r w:rsidRPr="00042CFB">
        <w:rPr>
          <w:rFonts w:asciiTheme="majorBidi" w:eastAsia="Times New Roman" w:hAnsiTheme="majorBidi" w:cstheme="majorBidi"/>
          <w:i/>
          <w:iCs/>
          <w:color w:val="222222"/>
          <w:shd w:val="clear" w:color="auto" w:fill="FFFFFF"/>
        </w:rPr>
        <w:t xml:space="preserve">Journal of Teacher Education, 60, </w:t>
      </w:r>
      <w:r w:rsidRPr="00042CFB">
        <w:rPr>
          <w:rFonts w:asciiTheme="majorBidi" w:eastAsia="Times New Roman" w:hAnsiTheme="majorBidi" w:cstheme="majorBidi"/>
          <w:color w:val="222222"/>
          <w:shd w:val="clear" w:color="auto" w:fill="FFFFFF"/>
        </w:rPr>
        <w:t xml:space="preserve">458-468. </w:t>
      </w:r>
    </w:p>
    <w:p w14:paraId="675AD6F1" w14:textId="77777777" w:rsidR="00347F81" w:rsidRPr="00042CFB" w:rsidRDefault="00347F81" w:rsidP="00347F81">
      <w:pPr>
        <w:rPr>
          <w:rFonts w:asciiTheme="majorBidi" w:eastAsia="Times New Roman" w:hAnsiTheme="majorBidi" w:cstheme="majorBidi"/>
        </w:rPr>
      </w:pPr>
    </w:p>
    <w:p w14:paraId="22F4DAC8" w14:textId="77777777" w:rsidR="00347F81" w:rsidRPr="00042CFB" w:rsidRDefault="00347F81" w:rsidP="00347F81">
      <w:pPr>
        <w:rPr>
          <w:rFonts w:asciiTheme="majorBidi" w:eastAsia="Times New Roman" w:hAnsiTheme="majorBidi" w:cstheme="majorBidi"/>
        </w:rPr>
      </w:pPr>
      <w:proofErr w:type="spellStart"/>
      <w:r w:rsidRPr="00042CFB">
        <w:rPr>
          <w:rFonts w:asciiTheme="majorBidi" w:eastAsia="Times New Roman" w:hAnsiTheme="majorBidi" w:cstheme="majorBidi"/>
        </w:rPr>
        <w:t>Grunwald</w:t>
      </w:r>
      <w:proofErr w:type="spellEnd"/>
      <w:r w:rsidRPr="00042CFB">
        <w:rPr>
          <w:rFonts w:asciiTheme="majorBidi" w:eastAsia="Times New Roman" w:hAnsiTheme="majorBidi" w:cstheme="majorBidi"/>
        </w:rPr>
        <w:t xml:space="preserve">, H., &amp; Peterson, M. W. (2003). Factors that promote faculty involvement in and satisfaction with institutional and classroom student assessment. </w:t>
      </w:r>
      <w:r w:rsidRPr="00042CFB">
        <w:rPr>
          <w:rFonts w:asciiTheme="majorBidi" w:eastAsia="Times New Roman" w:hAnsiTheme="majorBidi" w:cstheme="majorBidi"/>
          <w:i/>
          <w:iCs/>
        </w:rPr>
        <w:t>Research in Higher Education, 44</w:t>
      </w:r>
      <w:r w:rsidRPr="00042CFB">
        <w:rPr>
          <w:rFonts w:asciiTheme="majorBidi" w:eastAsia="Times New Roman" w:hAnsiTheme="majorBidi" w:cstheme="majorBidi"/>
        </w:rPr>
        <w:t xml:space="preserve">(2), 173-204. </w:t>
      </w:r>
    </w:p>
    <w:p w14:paraId="3F98E375" w14:textId="77777777" w:rsidR="00347F81" w:rsidRPr="00042CFB" w:rsidRDefault="00347F81" w:rsidP="001C0856">
      <w:pPr>
        <w:rPr>
          <w:rFonts w:asciiTheme="majorBidi" w:eastAsia="Times New Roman" w:hAnsiTheme="majorBidi" w:cstheme="majorBidi"/>
        </w:rPr>
      </w:pPr>
    </w:p>
    <w:p w14:paraId="0419D05D" w14:textId="0B4EE963" w:rsidR="00D75F39" w:rsidRPr="00042CFB" w:rsidRDefault="00781421">
      <w:pPr>
        <w:rPr>
          <w:rFonts w:asciiTheme="majorBidi" w:eastAsia="Times New Roman" w:hAnsiTheme="majorBidi" w:cstheme="majorBidi"/>
        </w:rPr>
      </w:pPr>
      <w:r w:rsidRPr="00042CFB">
        <w:rPr>
          <w:rFonts w:asciiTheme="majorBidi" w:eastAsia="Times New Roman" w:hAnsiTheme="majorBidi" w:cstheme="majorBidi"/>
        </w:rPr>
        <w:t xml:space="preserve">Maki, P. (2002). Moving from paperwork to pedagogy: Channeling intellectual curiosity into a commitment to assessment. </w:t>
      </w:r>
      <w:r w:rsidRPr="00042CFB">
        <w:rPr>
          <w:rFonts w:asciiTheme="majorBidi" w:eastAsia="Times New Roman" w:hAnsiTheme="majorBidi" w:cstheme="majorBidi"/>
          <w:i/>
          <w:iCs/>
        </w:rPr>
        <w:t>AAHE Bulletin, 54</w:t>
      </w:r>
      <w:r w:rsidRPr="00042CFB">
        <w:rPr>
          <w:rFonts w:asciiTheme="majorBidi" w:eastAsia="Times New Roman" w:hAnsiTheme="majorBidi" w:cstheme="majorBidi"/>
        </w:rPr>
        <w:t xml:space="preserve"> (9), 3-5. </w:t>
      </w:r>
    </w:p>
    <w:p w14:paraId="3C69BCE6" w14:textId="77777777" w:rsidR="00347F81" w:rsidRPr="00042CFB" w:rsidRDefault="00347F81" w:rsidP="00347F81">
      <w:pPr>
        <w:rPr>
          <w:rFonts w:asciiTheme="majorBidi" w:eastAsia="Times New Roman" w:hAnsiTheme="majorBidi" w:cstheme="majorBidi"/>
          <w:color w:val="222222"/>
          <w:shd w:val="clear" w:color="auto" w:fill="FFFFFF"/>
        </w:rPr>
      </w:pPr>
    </w:p>
    <w:p w14:paraId="51D73BBC" w14:textId="77777777" w:rsidR="00347F81" w:rsidRPr="00042CFB" w:rsidRDefault="00347F81" w:rsidP="00347F81">
      <w:pPr>
        <w:rPr>
          <w:rFonts w:asciiTheme="majorBidi" w:eastAsia="Times New Roman" w:hAnsiTheme="majorBidi" w:cstheme="majorBidi"/>
          <w:color w:val="222222"/>
          <w:shd w:val="clear" w:color="auto" w:fill="FFFFFF"/>
        </w:rPr>
      </w:pPr>
      <w:proofErr w:type="spellStart"/>
      <w:r w:rsidRPr="00042CFB">
        <w:rPr>
          <w:rFonts w:asciiTheme="majorBidi" w:eastAsia="Times New Roman" w:hAnsiTheme="majorBidi" w:cstheme="majorBidi"/>
          <w:color w:val="222222"/>
          <w:shd w:val="clear" w:color="auto" w:fill="FFFFFF"/>
        </w:rPr>
        <w:t>Palomba</w:t>
      </w:r>
      <w:proofErr w:type="spellEnd"/>
      <w:r w:rsidRPr="00042CFB">
        <w:rPr>
          <w:rFonts w:asciiTheme="majorBidi" w:eastAsia="Times New Roman" w:hAnsiTheme="majorBidi" w:cstheme="majorBidi"/>
          <w:color w:val="222222"/>
          <w:shd w:val="clear" w:color="auto" w:fill="FFFFFF"/>
        </w:rPr>
        <w:t xml:space="preserve">, C. A., &amp; Banta, T. W. (1999). </w:t>
      </w:r>
      <w:r w:rsidRPr="00042CFB">
        <w:rPr>
          <w:rFonts w:asciiTheme="majorBidi" w:eastAsia="Times New Roman" w:hAnsiTheme="majorBidi" w:cstheme="majorBidi"/>
          <w:i/>
          <w:iCs/>
          <w:color w:val="222222"/>
          <w:shd w:val="clear" w:color="auto" w:fill="FFFFFF"/>
        </w:rPr>
        <w:t xml:space="preserve">Assessment essentials: Planning, implementing, and improving assessment in higher education. </w:t>
      </w:r>
      <w:r w:rsidRPr="00042CFB">
        <w:rPr>
          <w:rFonts w:asciiTheme="majorBidi" w:eastAsia="Times New Roman" w:hAnsiTheme="majorBidi" w:cstheme="majorBidi"/>
          <w:color w:val="222222"/>
          <w:shd w:val="clear" w:color="auto" w:fill="FFFFFF"/>
        </w:rPr>
        <w:t xml:space="preserve"> San Francisco: </w:t>
      </w:r>
      <w:proofErr w:type="spellStart"/>
      <w:r w:rsidRPr="00042CFB">
        <w:rPr>
          <w:rFonts w:asciiTheme="majorBidi" w:eastAsia="Times New Roman" w:hAnsiTheme="majorBidi" w:cstheme="majorBidi"/>
          <w:color w:val="222222"/>
          <w:shd w:val="clear" w:color="auto" w:fill="FFFFFF"/>
        </w:rPr>
        <w:t>Jossey</w:t>
      </w:r>
      <w:proofErr w:type="spellEnd"/>
      <w:r w:rsidRPr="00042CFB">
        <w:rPr>
          <w:rFonts w:asciiTheme="majorBidi" w:eastAsia="Times New Roman" w:hAnsiTheme="majorBidi" w:cstheme="majorBidi"/>
          <w:color w:val="222222"/>
          <w:shd w:val="clear" w:color="auto" w:fill="FFFFFF"/>
        </w:rPr>
        <w:t>-Bass.</w:t>
      </w:r>
    </w:p>
    <w:p w14:paraId="6981FF72" w14:textId="77777777" w:rsidR="00347F81" w:rsidRPr="00042CFB" w:rsidRDefault="00347F81" w:rsidP="00347F81">
      <w:pPr>
        <w:rPr>
          <w:rFonts w:asciiTheme="majorBidi" w:eastAsia="Times New Roman" w:hAnsiTheme="majorBidi" w:cstheme="majorBidi"/>
          <w:color w:val="222222"/>
          <w:shd w:val="clear" w:color="auto" w:fill="FFFFFF"/>
        </w:rPr>
      </w:pPr>
    </w:p>
    <w:p w14:paraId="5816AA94" w14:textId="77777777" w:rsidR="00347F81" w:rsidRPr="00042CFB" w:rsidRDefault="00347F81" w:rsidP="00347F81">
      <w:pPr>
        <w:rPr>
          <w:rFonts w:asciiTheme="majorBidi" w:eastAsia="Times New Roman" w:hAnsiTheme="majorBidi" w:cstheme="majorBidi"/>
          <w:color w:val="222222"/>
          <w:shd w:val="clear" w:color="auto" w:fill="FFFFFF"/>
        </w:rPr>
      </w:pPr>
      <w:r w:rsidRPr="00042CFB">
        <w:rPr>
          <w:rFonts w:asciiTheme="majorBidi" w:eastAsia="Times New Roman" w:hAnsiTheme="majorBidi" w:cstheme="majorBidi"/>
          <w:color w:val="222222"/>
          <w:shd w:val="clear" w:color="auto" w:fill="FFFFFF"/>
        </w:rPr>
        <w:t>Walser, T. (2015). Evaluability Assessment in Higher Education: Supporting Continuous Improvement, Accountability, and a Culture of Assessment. </w:t>
      </w:r>
      <w:r w:rsidRPr="00042CFB">
        <w:rPr>
          <w:rFonts w:asciiTheme="majorBidi" w:eastAsia="Times New Roman" w:hAnsiTheme="majorBidi" w:cstheme="majorBidi"/>
          <w:i/>
          <w:iCs/>
          <w:color w:val="222222"/>
          <w:shd w:val="clear" w:color="auto" w:fill="FFFFFF"/>
        </w:rPr>
        <w:t>Journal of Assessment and Institutional Effectiveness,</w:t>
      </w:r>
      <w:r w:rsidRPr="00042CFB">
        <w:rPr>
          <w:rFonts w:asciiTheme="majorBidi" w:eastAsia="Times New Roman" w:hAnsiTheme="majorBidi" w:cstheme="majorBidi"/>
          <w:color w:val="222222"/>
          <w:shd w:val="clear" w:color="auto" w:fill="FFFFFF"/>
        </w:rPr>
        <w:t> </w:t>
      </w:r>
      <w:r w:rsidRPr="00042CFB">
        <w:rPr>
          <w:rFonts w:asciiTheme="majorBidi" w:eastAsia="Times New Roman" w:hAnsiTheme="majorBidi" w:cstheme="majorBidi"/>
          <w:i/>
          <w:iCs/>
          <w:color w:val="222222"/>
          <w:shd w:val="clear" w:color="auto" w:fill="FFFFFF"/>
        </w:rPr>
        <w:t>5</w:t>
      </w:r>
      <w:r w:rsidRPr="00042CFB">
        <w:rPr>
          <w:rFonts w:asciiTheme="majorBidi" w:eastAsia="Times New Roman" w:hAnsiTheme="majorBidi" w:cstheme="majorBidi"/>
          <w:color w:val="222222"/>
          <w:shd w:val="clear" w:color="auto" w:fill="FFFFFF"/>
        </w:rPr>
        <w:t>(1), 58-77. doi:1. Retrieved from http://www.jstor.org/stable/10.5325/jasseinsteffe.5.1.0058 doi:1</w:t>
      </w:r>
    </w:p>
    <w:p w14:paraId="28829F2D" w14:textId="77777777" w:rsidR="00347F81" w:rsidRPr="00042CFB" w:rsidRDefault="00347F81" w:rsidP="00347F81">
      <w:pPr>
        <w:rPr>
          <w:rFonts w:asciiTheme="majorBidi" w:eastAsia="Times New Roman" w:hAnsiTheme="majorBidi" w:cstheme="majorBidi"/>
          <w:color w:val="222222"/>
          <w:shd w:val="clear" w:color="auto" w:fill="FFFFFF"/>
        </w:rPr>
      </w:pPr>
    </w:p>
    <w:p w14:paraId="42CD6780" w14:textId="77777777" w:rsidR="00347F81" w:rsidRPr="00042CFB" w:rsidRDefault="00347F81" w:rsidP="00347F81">
      <w:pPr>
        <w:rPr>
          <w:rFonts w:asciiTheme="majorBidi" w:eastAsia="Times New Roman" w:hAnsiTheme="majorBidi" w:cstheme="majorBidi"/>
        </w:rPr>
      </w:pPr>
      <w:r w:rsidRPr="00042CFB">
        <w:rPr>
          <w:rFonts w:asciiTheme="majorBidi" w:eastAsia="Times New Roman" w:hAnsiTheme="majorBidi" w:cstheme="majorBidi"/>
          <w:color w:val="222222"/>
          <w:shd w:val="clear" w:color="auto" w:fill="FFFFFF"/>
        </w:rPr>
        <w:t xml:space="preserve">Wang, X. &amp; Hurley, S. (2012). Assessment as a Scholarly </w:t>
      </w:r>
      <w:proofErr w:type="gramStart"/>
      <w:r w:rsidRPr="00042CFB">
        <w:rPr>
          <w:rFonts w:asciiTheme="majorBidi" w:eastAsia="Times New Roman" w:hAnsiTheme="majorBidi" w:cstheme="majorBidi"/>
          <w:color w:val="222222"/>
          <w:shd w:val="clear" w:color="auto" w:fill="FFFFFF"/>
        </w:rPr>
        <w:t>Activity?:</w:t>
      </w:r>
      <w:proofErr w:type="gramEnd"/>
      <w:r w:rsidRPr="00042CFB">
        <w:rPr>
          <w:rFonts w:asciiTheme="majorBidi" w:eastAsia="Times New Roman" w:hAnsiTheme="majorBidi" w:cstheme="majorBidi"/>
          <w:color w:val="222222"/>
          <w:shd w:val="clear" w:color="auto" w:fill="FFFFFF"/>
        </w:rPr>
        <w:t xml:space="preserve"> Faculty Perceptions of and Willingness to Engage in Student Learning Assessment. </w:t>
      </w:r>
      <w:r w:rsidRPr="00042CFB">
        <w:rPr>
          <w:rFonts w:asciiTheme="majorBidi" w:eastAsia="Times New Roman" w:hAnsiTheme="majorBidi" w:cstheme="majorBidi"/>
          <w:i/>
          <w:iCs/>
          <w:color w:val="222222"/>
          <w:shd w:val="clear" w:color="auto" w:fill="FFFFFF"/>
        </w:rPr>
        <w:t>The Journal of General Education,</w:t>
      </w:r>
      <w:r w:rsidRPr="00042CFB">
        <w:rPr>
          <w:rFonts w:asciiTheme="majorBidi" w:eastAsia="Times New Roman" w:hAnsiTheme="majorBidi" w:cstheme="majorBidi"/>
          <w:color w:val="222222"/>
          <w:shd w:val="clear" w:color="auto" w:fill="FFFFFF"/>
        </w:rPr>
        <w:t> </w:t>
      </w:r>
      <w:r w:rsidRPr="00042CFB">
        <w:rPr>
          <w:rFonts w:asciiTheme="majorBidi" w:eastAsia="Times New Roman" w:hAnsiTheme="majorBidi" w:cstheme="majorBidi"/>
          <w:i/>
          <w:iCs/>
          <w:color w:val="222222"/>
          <w:shd w:val="clear" w:color="auto" w:fill="FFFFFF"/>
        </w:rPr>
        <w:t>61</w:t>
      </w:r>
      <w:r w:rsidRPr="00042CFB">
        <w:rPr>
          <w:rFonts w:asciiTheme="majorBidi" w:eastAsia="Times New Roman" w:hAnsiTheme="majorBidi" w:cstheme="majorBidi"/>
          <w:color w:val="222222"/>
          <w:shd w:val="clear" w:color="auto" w:fill="FFFFFF"/>
        </w:rPr>
        <w:t>(1), 1-15. doi:1. Retrieved from http://www.jstor.org/stable/10.5325/jgeneeduc.61.1.0001 doi:1</w:t>
      </w:r>
    </w:p>
    <w:p w14:paraId="34787AAB" w14:textId="77777777" w:rsidR="00347F81" w:rsidRPr="00042CFB" w:rsidRDefault="00347F81" w:rsidP="00347F81">
      <w:pPr>
        <w:rPr>
          <w:rFonts w:asciiTheme="majorBidi" w:eastAsia="Times New Roman" w:hAnsiTheme="majorBidi" w:cstheme="majorBidi"/>
          <w:color w:val="222222"/>
          <w:shd w:val="clear" w:color="auto" w:fill="FFFFFF"/>
        </w:rPr>
      </w:pPr>
    </w:p>
    <w:p w14:paraId="78DECC7B" w14:textId="77777777" w:rsidR="00347F81" w:rsidRPr="00042CFB" w:rsidRDefault="00347F81" w:rsidP="00347F81">
      <w:pPr>
        <w:rPr>
          <w:rFonts w:asciiTheme="majorBidi" w:eastAsia="Times New Roman" w:hAnsiTheme="majorBidi" w:cstheme="majorBidi"/>
        </w:rPr>
      </w:pPr>
      <w:proofErr w:type="spellStart"/>
      <w:r w:rsidRPr="00042CFB">
        <w:rPr>
          <w:rFonts w:asciiTheme="majorBidi" w:eastAsia="Times New Roman" w:hAnsiTheme="majorBidi" w:cstheme="majorBidi"/>
          <w:color w:val="222222"/>
          <w:shd w:val="clear" w:color="auto" w:fill="FFFFFF"/>
        </w:rPr>
        <w:t>Zubrow</w:t>
      </w:r>
      <w:proofErr w:type="spellEnd"/>
      <w:r w:rsidRPr="00042CFB">
        <w:rPr>
          <w:rFonts w:asciiTheme="majorBidi" w:eastAsia="Times New Roman" w:hAnsiTheme="majorBidi" w:cstheme="majorBidi"/>
          <w:color w:val="222222"/>
          <w:shd w:val="clear" w:color="auto" w:fill="FFFFFF"/>
        </w:rPr>
        <w:t xml:space="preserve">, J. (2012). Case Study: Engaging Adjunct Faculty in Program Assessment. </w:t>
      </w:r>
      <w:r w:rsidRPr="00042CFB">
        <w:rPr>
          <w:rFonts w:asciiTheme="majorBidi" w:eastAsia="Times New Roman" w:hAnsiTheme="majorBidi" w:cstheme="majorBidi"/>
          <w:i/>
          <w:iCs/>
          <w:color w:val="222222"/>
          <w:shd w:val="clear" w:color="auto" w:fill="FFFFFF"/>
        </w:rPr>
        <w:t>Journal of Assessment and Institutional Effectiveness,</w:t>
      </w:r>
      <w:r w:rsidRPr="00042CFB">
        <w:rPr>
          <w:rFonts w:asciiTheme="majorBidi" w:eastAsia="Times New Roman" w:hAnsiTheme="majorBidi" w:cstheme="majorBidi"/>
          <w:color w:val="222222"/>
          <w:shd w:val="clear" w:color="auto" w:fill="FFFFFF"/>
        </w:rPr>
        <w:t> </w:t>
      </w:r>
      <w:r w:rsidRPr="00042CFB">
        <w:rPr>
          <w:rFonts w:asciiTheme="majorBidi" w:eastAsia="Times New Roman" w:hAnsiTheme="majorBidi" w:cstheme="majorBidi"/>
          <w:i/>
          <w:iCs/>
          <w:color w:val="222222"/>
          <w:shd w:val="clear" w:color="auto" w:fill="FFFFFF"/>
        </w:rPr>
        <w:t>2</w:t>
      </w:r>
      <w:r w:rsidRPr="00042CFB">
        <w:rPr>
          <w:rFonts w:asciiTheme="majorBidi" w:eastAsia="Times New Roman" w:hAnsiTheme="majorBidi" w:cstheme="majorBidi"/>
          <w:color w:val="222222"/>
          <w:shd w:val="clear" w:color="auto" w:fill="FFFFFF"/>
        </w:rPr>
        <w:t>(1), 77-102. doi:1. Retrieved from http://www.jstor.org/stable/10.5325/jasseinsteffe.2.1.0077 doi:1</w:t>
      </w:r>
    </w:p>
    <w:p w14:paraId="1687F56B" w14:textId="77777777" w:rsidR="00347F81" w:rsidRPr="00042CFB" w:rsidRDefault="00347F81">
      <w:pPr>
        <w:rPr>
          <w:rFonts w:asciiTheme="majorBidi" w:hAnsiTheme="majorBidi" w:cstheme="majorBidi"/>
        </w:rPr>
      </w:pPr>
    </w:p>
    <w:sectPr w:rsidR="00347F81" w:rsidRPr="00042CFB" w:rsidSect="00D94A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E1538"/>
    <w:multiLevelType w:val="hybridMultilevel"/>
    <w:tmpl w:val="29420FF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21817"/>
    <w:multiLevelType w:val="hybridMultilevel"/>
    <w:tmpl w:val="D7F2DF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332E01"/>
    <w:multiLevelType w:val="hybridMultilevel"/>
    <w:tmpl w:val="78DAA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1D58B0"/>
    <w:multiLevelType w:val="hybridMultilevel"/>
    <w:tmpl w:val="ECBEC6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804C05"/>
    <w:multiLevelType w:val="hybridMultilevel"/>
    <w:tmpl w:val="29420F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737"/>
    <w:rsid w:val="000305BC"/>
    <w:rsid w:val="00040F2B"/>
    <w:rsid w:val="00042CFB"/>
    <w:rsid w:val="0004648F"/>
    <w:rsid w:val="000958C4"/>
    <w:rsid w:val="000A6416"/>
    <w:rsid w:val="00171877"/>
    <w:rsid w:val="001A24F6"/>
    <w:rsid w:val="001C0856"/>
    <w:rsid w:val="001D24AF"/>
    <w:rsid w:val="001E4C90"/>
    <w:rsid w:val="00207ECD"/>
    <w:rsid w:val="0027268E"/>
    <w:rsid w:val="002E068B"/>
    <w:rsid w:val="00347F81"/>
    <w:rsid w:val="00366B53"/>
    <w:rsid w:val="0038055A"/>
    <w:rsid w:val="00385804"/>
    <w:rsid w:val="003D4737"/>
    <w:rsid w:val="00452206"/>
    <w:rsid w:val="005C4DCB"/>
    <w:rsid w:val="005F6E20"/>
    <w:rsid w:val="00620A2E"/>
    <w:rsid w:val="007002A0"/>
    <w:rsid w:val="00781421"/>
    <w:rsid w:val="0078341C"/>
    <w:rsid w:val="00796A95"/>
    <w:rsid w:val="00827B68"/>
    <w:rsid w:val="00840969"/>
    <w:rsid w:val="008A584E"/>
    <w:rsid w:val="008B282B"/>
    <w:rsid w:val="00983516"/>
    <w:rsid w:val="00A80599"/>
    <w:rsid w:val="00B97D9C"/>
    <w:rsid w:val="00C16902"/>
    <w:rsid w:val="00D02AD1"/>
    <w:rsid w:val="00D43D2E"/>
    <w:rsid w:val="00D544E8"/>
    <w:rsid w:val="00D75F39"/>
    <w:rsid w:val="00D94A23"/>
    <w:rsid w:val="00E406EB"/>
    <w:rsid w:val="00E60132"/>
    <w:rsid w:val="00E66E30"/>
    <w:rsid w:val="00EF3FF3"/>
    <w:rsid w:val="00F53A33"/>
    <w:rsid w:val="00FA6E33"/>
    <w:rsid w:val="00FB409A"/>
    <w:rsid w:val="00FB5E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BB80B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AD1"/>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737"/>
    <w:pPr>
      <w:ind w:left="720"/>
      <w:contextualSpacing/>
    </w:pPr>
    <w:rPr>
      <w:rFonts w:asciiTheme="minorHAnsi" w:hAnsiTheme="minorHAnsi" w:cstheme="minorBidi"/>
      <w:lang w:eastAsia="en-US"/>
    </w:rPr>
  </w:style>
  <w:style w:type="paragraph" w:styleId="BalloonText">
    <w:name w:val="Balloon Text"/>
    <w:basedOn w:val="Normal"/>
    <w:link w:val="BalloonTextChar"/>
    <w:uiPriority w:val="99"/>
    <w:semiHidden/>
    <w:unhideWhenUsed/>
    <w:rsid w:val="00F53A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33"/>
    <w:rPr>
      <w:rFonts w:ascii="Segoe UI" w:hAnsi="Segoe UI" w:cs="Segoe UI"/>
      <w:sz w:val="18"/>
      <w:szCs w:val="18"/>
    </w:rPr>
  </w:style>
  <w:style w:type="character" w:styleId="CommentReference">
    <w:name w:val="annotation reference"/>
    <w:basedOn w:val="DefaultParagraphFont"/>
    <w:uiPriority w:val="99"/>
    <w:semiHidden/>
    <w:unhideWhenUsed/>
    <w:rsid w:val="005F6E20"/>
    <w:rPr>
      <w:sz w:val="18"/>
      <w:szCs w:val="18"/>
    </w:rPr>
  </w:style>
  <w:style w:type="paragraph" w:styleId="CommentText">
    <w:name w:val="annotation text"/>
    <w:basedOn w:val="Normal"/>
    <w:link w:val="CommentTextChar"/>
    <w:uiPriority w:val="99"/>
    <w:semiHidden/>
    <w:unhideWhenUsed/>
    <w:rsid w:val="005F6E20"/>
    <w:rPr>
      <w:rFonts w:asciiTheme="minorHAnsi" w:hAnsiTheme="minorHAnsi" w:cstheme="minorBidi"/>
      <w:lang w:eastAsia="en-US"/>
    </w:rPr>
  </w:style>
  <w:style w:type="character" w:customStyle="1" w:styleId="CommentTextChar">
    <w:name w:val="Comment Text Char"/>
    <w:basedOn w:val="DefaultParagraphFont"/>
    <w:link w:val="CommentText"/>
    <w:uiPriority w:val="99"/>
    <w:semiHidden/>
    <w:rsid w:val="005F6E20"/>
  </w:style>
  <w:style w:type="paragraph" w:styleId="CommentSubject">
    <w:name w:val="annotation subject"/>
    <w:basedOn w:val="CommentText"/>
    <w:next w:val="CommentText"/>
    <w:link w:val="CommentSubjectChar"/>
    <w:uiPriority w:val="99"/>
    <w:semiHidden/>
    <w:unhideWhenUsed/>
    <w:rsid w:val="005F6E20"/>
    <w:rPr>
      <w:b/>
      <w:bCs/>
      <w:sz w:val="20"/>
      <w:szCs w:val="20"/>
    </w:rPr>
  </w:style>
  <w:style w:type="character" w:customStyle="1" w:styleId="CommentSubjectChar">
    <w:name w:val="Comment Subject Char"/>
    <w:basedOn w:val="CommentTextChar"/>
    <w:link w:val="CommentSubject"/>
    <w:uiPriority w:val="99"/>
    <w:semiHidden/>
    <w:rsid w:val="005F6E20"/>
    <w:rPr>
      <w:b/>
      <w:bCs/>
      <w:sz w:val="20"/>
      <w:szCs w:val="20"/>
    </w:rPr>
  </w:style>
  <w:style w:type="character" w:customStyle="1" w:styleId="apple-converted-space">
    <w:name w:val="apple-converted-space"/>
    <w:basedOn w:val="DefaultParagraphFont"/>
    <w:rsid w:val="001C0856"/>
  </w:style>
  <w:style w:type="paragraph" w:customStyle="1" w:styleId="tip">
    <w:name w:val="tip"/>
    <w:basedOn w:val="Normal"/>
    <w:rsid w:val="00D02AD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3888">
      <w:bodyDiv w:val="1"/>
      <w:marLeft w:val="0"/>
      <w:marRight w:val="0"/>
      <w:marTop w:val="0"/>
      <w:marBottom w:val="0"/>
      <w:divBdr>
        <w:top w:val="none" w:sz="0" w:space="0" w:color="auto"/>
        <w:left w:val="none" w:sz="0" w:space="0" w:color="auto"/>
        <w:bottom w:val="none" w:sz="0" w:space="0" w:color="auto"/>
        <w:right w:val="none" w:sz="0" w:space="0" w:color="auto"/>
      </w:divBdr>
    </w:div>
    <w:div w:id="228149475">
      <w:bodyDiv w:val="1"/>
      <w:marLeft w:val="0"/>
      <w:marRight w:val="0"/>
      <w:marTop w:val="0"/>
      <w:marBottom w:val="0"/>
      <w:divBdr>
        <w:top w:val="none" w:sz="0" w:space="0" w:color="auto"/>
        <w:left w:val="none" w:sz="0" w:space="0" w:color="auto"/>
        <w:bottom w:val="none" w:sz="0" w:space="0" w:color="auto"/>
        <w:right w:val="none" w:sz="0" w:space="0" w:color="auto"/>
      </w:divBdr>
    </w:div>
    <w:div w:id="280185931">
      <w:bodyDiv w:val="1"/>
      <w:marLeft w:val="0"/>
      <w:marRight w:val="0"/>
      <w:marTop w:val="0"/>
      <w:marBottom w:val="0"/>
      <w:divBdr>
        <w:top w:val="none" w:sz="0" w:space="0" w:color="auto"/>
        <w:left w:val="none" w:sz="0" w:space="0" w:color="auto"/>
        <w:bottom w:val="none" w:sz="0" w:space="0" w:color="auto"/>
        <w:right w:val="none" w:sz="0" w:space="0" w:color="auto"/>
      </w:divBdr>
    </w:div>
    <w:div w:id="405952781">
      <w:bodyDiv w:val="1"/>
      <w:marLeft w:val="0"/>
      <w:marRight w:val="0"/>
      <w:marTop w:val="0"/>
      <w:marBottom w:val="0"/>
      <w:divBdr>
        <w:top w:val="none" w:sz="0" w:space="0" w:color="auto"/>
        <w:left w:val="none" w:sz="0" w:space="0" w:color="auto"/>
        <w:bottom w:val="none" w:sz="0" w:space="0" w:color="auto"/>
        <w:right w:val="none" w:sz="0" w:space="0" w:color="auto"/>
      </w:divBdr>
      <w:divsChild>
        <w:div w:id="299501756">
          <w:marLeft w:val="0"/>
          <w:marRight w:val="0"/>
          <w:marTop w:val="0"/>
          <w:marBottom w:val="0"/>
          <w:divBdr>
            <w:top w:val="none" w:sz="0" w:space="0" w:color="auto"/>
            <w:left w:val="none" w:sz="0" w:space="0" w:color="auto"/>
            <w:bottom w:val="none" w:sz="0" w:space="0" w:color="auto"/>
            <w:right w:val="none" w:sz="0" w:space="0" w:color="auto"/>
          </w:divBdr>
          <w:divsChild>
            <w:div w:id="14366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26054">
      <w:bodyDiv w:val="1"/>
      <w:marLeft w:val="0"/>
      <w:marRight w:val="0"/>
      <w:marTop w:val="0"/>
      <w:marBottom w:val="0"/>
      <w:divBdr>
        <w:top w:val="none" w:sz="0" w:space="0" w:color="auto"/>
        <w:left w:val="none" w:sz="0" w:space="0" w:color="auto"/>
        <w:bottom w:val="none" w:sz="0" w:space="0" w:color="auto"/>
        <w:right w:val="none" w:sz="0" w:space="0" w:color="auto"/>
      </w:divBdr>
    </w:div>
    <w:div w:id="625158017">
      <w:bodyDiv w:val="1"/>
      <w:marLeft w:val="0"/>
      <w:marRight w:val="0"/>
      <w:marTop w:val="0"/>
      <w:marBottom w:val="0"/>
      <w:divBdr>
        <w:top w:val="none" w:sz="0" w:space="0" w:color="auto"/>
        <w:left w:val="none" w:sz="0" w:space="0" w:color="auto"/>
        <w:bottom w:val="none" w:sz="0" w:space="0" w:color="auto"/>
        <w:right w:val="none" w:sz="0" w:space="0" w:color="auto"/>
      </w:divBdr>
    </w:div>
    <w:div w:id="829831536">
      <w:bodyDiv w:val="1"/>
      <w:marLeft w:val="0"/>
      <w:marRight w:val="0"/>
      <w:marTop w:val="0"/>
      <w:marBottom w:val="0"/>
      <w:divBdr>
        <w:top w:val="none" w:sz="0" w:space="0" w:color="auto"/>
        <w:left w:val="none" w:sz="0" w:space="0" w:color="auto"/>
        <w:bottom w:val="none" w:sz="0" w:space="0" w:color="auto"/>
        <w:right w:val="none" w:sz="0" w:space="0" w:color="auto"/>
      </w:divBdr>
    </w:div>
    <w:div w:id="1281837123">
      <w:bodyDiv w:val="1"/>
      <w:marLeft w:val="0"/>
      <w:marRight w:val="0"/>
      <w:marTop w:val="0"/>
      <w:marBottom w:val="0"/>
      <w:divBdr>
        <w:top w:val="none" w:sz="0" w:space="0" w:color="auto"/>
        <w:left w:val="none" w:sz="0" w:space="0" w:color="auto"/>
        <w:bottom w:val="none" w:sz="0" w:space="0" w:color="auto"/>
        <w:right w:val="none" w:sz="0" w:space="0" w:color="auto"/>
      </w:divBdr>
    </w:div>
    <w:div w:id="1424377232">
      <w:bodyDiv w:val="1"/>
      <w:marLeft w:val="0"/>
      <w:marRight w:val="0"/>
      <w:marTop w:val="0"/>
      <w:marBottom w:val="0"/>
      <w:divBdr>
        <w:top w:val="none" w:sz="0" w:space="0" w:color="auto"/>
        <w:left w:val="none" w:sz="0" w:space="0" w:color="auto"/>
        <w:bottom w:val="none" w:sz="0" w:space="0" w:color="auto"/>
        <w:right w:val="none" w:sz="0" w:space="0" w:color="auto"/>
      </w:divBdr>
    </w:div>
    <w:div w:id="1465737892">
      <w:bodyDiv w:val="1"/>
      <w:marLeft w:val="0"/>
      <w:marRight w:val="0"/>
      <w:marTop w:val="0"/>
      <w:marBottom w:val="0"/>
      <w:divBdr>
        <w:top w:val="none" w:sz="0" w:space="0" w:color="auto"/>
        <w:left w:val="none" w:sz="0" w:space="0" w:color="auto"/>
        <w:bottom w:val="none" w:sz="0" w:space="0" w:color="auto"/>
        <w:right w:val="none" w:sz="0" w:space="0" w:color="auto"/>
      </w:divBdr>
    </w:div>
    <w:div w:id="1537504836">
      <w:bodyDiv w:val="1"/>
      <w:marLeft w:val="0"/>
      <w:marRight w:val="0"/>
      <w:marTop w:val="0"/>
      <w:marBottom w:val="0"/>
      <w:divBdr>
        <w:top w:val="none" w:sz="0" w:space="0" w:color="auto"/>
        <w:left w:val="none" w:sz="0" w:space="0" w:color="auto"/>
        <w:bottom w:val="none" w:sz="0" w:space="0" w:color="auto"/>
        <w:right w:val="none" w:sz="0" w:space="0" w:color="auto"/>
      </w:divBdr>
    </w:div>
    <w:div w:id="1571422934">
      <w:bodyDiv w:val="1"/>
      <w:marLeft w:val="0"/>
      <w:marRight w:val="0"/>
      <w:marTop w:val="0"/>
      <w:marBottom w:val="0"/>
      <w:divBdr>
        <w:top w:val="none" w:sz="0" w:space="0" w:color="auto"/>
        <w:left w:val="none" w:sz="0" w:space="0" w:color="auto"/>
        <w:bottom w:val="none" w:sz="0" w:space="0" w:color="auto"/>
        <w:right w:val="none" w:sz="0" w:space="0" w:color="auto"/>
      </w:divBdr>
    </w:div>
    <w:div w:id="1572471868">
      <w:bodyDiv w:val="1"/>
      <w:marLeft w:val="0"/>
      <w:marRight w:val="0"/>
      <w:marTop w:val="0"/>
      <w:marBottom w:val="0"/>
      <w:divBdr>
        <w:top w:val="none" w:sz="0" w:space="0" w:color="auto"/>
        <w:left w:val="none" w:sz="0" w:space="0" w:color="auto"/>
        <w:bottom w:val="none" w:sz="0" w:space="0" w:color="auto"/>
        <w:right w:val="none" w:sz="0" w:space="0" w:color="auto"/>
      </w:divBdr>
    </w:div>
    <w:div w:id="2009357130">
      <w:bodyDiv w:val="1"/>
      <w:marLeft w:val="0"/>
      <w:marRight w:val="0"/>
      <w:marTop w:val="0"/>
      <w:marBottom w:val="0"/>
      <w:divBdr>
        <w:top w:val="none" w:sz="0" w:space="0" w:color="auto"/>
        <w:left w:val="none" w:sz="0" w:space="0" w:color="auto"/>
        <w:bottom w:val="none" w:sz="0" w:space="0" w:color="auto"/>
        <w:right w:val="none" w:sz="0" w:space="0" w:color="auto"/>
      </w:divBdr>
    </w:div>
    <w:div w:id="20788948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1380</Words>
  <Characters>7867</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Edwards</dc:creator>
  <cp:keywords/>
  <dc:description/>
  <cp:lastModifiedBy>Microsoft Office User</cp:lastModifiedBy>
  <cp:revision>2</cp:revision>
  <cp:lastPrinted>2017-05-30T21:52:00Z</cp:lastPrinted>
  <dcterms:created xsi:type="dcterms:W3CDTF">2017-06-01T22:52:00Z</dcterms:created>
  <dcterms:modified xsi:type="dcterms:W3CDTF">2017-06-01T22:52:00Z</dcterms:modified>
</cp:coreProperties>
</file>