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A8EB" w14:textId="77777777" w:rsidR="006A2B51" w:rsidRDefault="006A2B51" w:rsidP="006A2B51">
      <w:pPr>
        <w:rPr>
          <w:rFonts w:ascii="Arial" w:hAnsi="Arial" w:cs="Arial"/>
          <w:color w:val="000000"/>
          <w:sz w:val="22"/>
          <w:szCs w:val="22"/>
        </w:rPr>
      </w:pPr>
      <w:bookmarkStart w:id="0" w:name="_Hlk110521905"/>
      <w:r>
        <w:rPr>
          <w:noProof/>
        </w:rPr>
        <w:drawing>
          <wp:anchor distT="0" distB="0" distL="114300" distR="114300" simplePos="0" relativeHeight="251663360" behindDoc="0" locked="0" layoutInCell="1" allowOverlap="1" wp14:anchorId="07320DCC" wp14:editId="2647F226">
            <wp:simplePos x="0" y="0"/>
            <wp:positionH relativeFrom="column">
              <wp:posOffset>78105</wp:posOffset>
            </wp:positionH>
            <wp:positionV relativeFrom="paragraph">
              <wp:posOffset>-167028</wp:posOffset>
            </wp:positionV>
            <wp:extent cx="2628265" cy="425450"/>
            <wp:effectExtent l="0" t="0" r="635" b="6350"/>
            <wp:wrapNone/>
            <wp:docPr id="3" name="Picture 3" descr="Macintosh HD:Users:smo632:Downloads:RGB_formal_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cintosh HD:Users:smo632:Downloads:RGB_formal_Education.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265" cy="425450"/>
                    </a:xfrm>
                    <a:prstGeom prst="rect">
                      <a:avLst/>
                    </a:prstGeom>
                    <a:noFill/>
                    <a:ln>
                      <a:noFill/>
                    </a:ln>
                  </pic:spPr>
                </pic:pic>
              </a:graphicData>
            </a:graphic>
          </wp:anchor>
        </w:drawing>
      </w:r>
    </w:p>
    <w:p w14:paraId="18A8F03A" w14:textId="77777777" w:rsidR="006A2B51" w:rsidRDefault="006A2B51" w:rsidP="006A2B51">
      <w:pPr>
        <w:rPr>
          <w:rFonts w:ascii="Arial" w:hAnsi="Arial" w:cs="Arial"/>
          <w:color w:val="000000"/>
          <w:sz w:val="22"/>
          <w:szCs w:val="22"/>
        </w:rPr>
      </w:pPr>
      <w:r>
        <w:rPr>
          <w:noProof/>
        </w:rPr>
        <mc:AlternateContent>
          <mc:Choice Requires="wps">
            <w:drawing>
              <wp:anchor distT="0" distB="0" distL="114300" distR="114300" simplePos="0" relativeHeight="251665408" behindDoc="0" locked="0" layoutInCell="1" allowOverlap="1" wp14:anchorId="312167A2" wp14:editId="699184CC">
                <wp:simplePos x="0" y="0"/>
                <wp:positionH relativeFrom="column">
                  <wp:posOffset>-158750</wp:posOffset>
                </wp:positionH>
                <wp:positionV relativeFrom="paragraph">
                  <wp:posOffset>183756</wp:posOffset>
                </wp:positionV>
                <wp:extent cx="6401435" cy="0"/>
                <wp:effectExtent l="0" t="0" r="24765" b="25400"/>
                <wp:wrapNone/>
                <wp:docPr id="5" name="Straight Connector 5"/>
                <wp:cNvGraphicFramePr/>
                <a:graphic xmlns:a="http://schemas.openxmlformats.org/drawingml/2006/main">
                  <a:graphicData uri="http://schemas.microsoft.com/office/word/2010/wordprocessingShape">
                    <wps:wsp>
                      <wps:cNvCnPr/>
                      <wps:spPr>
                        <a:xfrm>
                          <a:off x="0" y="0"/>
                          <a:ext cx="6401435" cy="0"/>
                        </a:xfrm>
                        <a:prstGeom prst="line">
                          <a:avLst/>
                        </a:prstGeom>
                        <a:ln w="12700" cmpd="sng">
                          <a:solidFill>
                            <a:srgbClr val="B04608">
                              <a:alpha val="85000"/>
                            </a:srgb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A7A8DD2"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14.45pt" to="491.55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" strokecolor="#b04608" strokeweight="1pt">
                <v:stroke opacity="55769f" joinstyle="miter"/>
              </v:line>
            </w:pict>
          </mc:Fallback>
        </mc:AlternateContent>
      </w:r>
    </w:p>
    <w:p w14:paraId="2414A508" w14:textId="77777777" w:rsidR="006A2B51" w:rsidRDefault="006A2B51" w:rsidP="006A2B51">
      <w:pPr>
        <w:pStyle w:val="Header"/>
      </w:pPr>
      <w:r>
        <w:rPr>
          <w:noProof/>
        </w:rPr>
        <mc:AlternateContent>
          <mc:Choice Requires="wps">
            <w:drawing>
              <wp:anchor distT="0" distB="0" distL="114300" distR="114300" simplePos="0" relativeHeight="251664384" behindDoc="0" locked="0" layoutInCell="1" allowOverlap="1" wp14:anchorId="0EA062E0" wp14:editId="39FDD9E8">
                <wp:simplePos x="0" y="0"/>
                <wp:positionH relativeFrom="column">
                  <wp:posOffset>-73419</wp:posOffset>
                </wp:positionH>
                <wp:positionV relativeFrom="paragraph">
                  <wp:posOffset>89776</wp:posOffset>
                </wp:positionV>
                <wp:extent cx="6536055" cy="431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536055" cy="43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86F545" w14:textId="77777777" w:rsidR="006A2B51" w:rsidRPr="00552CEC" w:rsidRDefault="006A2B51" w:rsidP="006A2B51">
                            <w:pPr>
                              <w:pStyle w:val="Header"/>
                              <w:rPr>
                                <w:i/>
                                <w:sz w:val="21"/>
                                <w:szCs w:val="21"/>
                              </w:rPr>
                            </w:pPr>
                            <w:r w:rsidRPr="00552CEC">
                              <w:rPr>
                                <w:i/>
                                <w:sz w:val="21"/>
                                <w:szCs w:val="21"/>
                              </w:rPr>
                              <w:t xml:space="preserve">Department of Kinesiology and Health Education </w:t>
                            </w:r>
                            <w:r w:rsidRPr="00552CEC">
                              <w:rPr>
                                <w:rFonts w:ascii="Wingdings" w:hAnsi="Wingdings"/>
                                <w:i/>
                                <w:sz w:val="21"/>
                                <w:szCs w:val="21"/>
                              </w:rPr>
                              <w:t></w:t>
                            </w:r>
                            <w:r w:rsidRPr="00552CEC">
                              <w:rPr>
                                <w:i/>
                                <w:sz w:val="21"/>
                                <w:szCs w:val="21"/>
                              </w:rPr>
                              <w:t xml:space="preserve"> 2109 San Jacinto Blvd., Stop D3700, Austin, Texas, 78712-1415</w:t>
                            </w:r>
                          </w:p>
                          <w:p w14:paraId="017C1DFB" w14:textId="77777777" w:rsidR="006A2B51" w:rsidRPr="00552CEC" w:rsidRDefault="006A2B51" w:rsidP="006A2B51">
                            <w:pPr>
                              <w:pStyle w:val="Header"/>
                              <w:rPr>
                                <w:i/>
                                <w:sz w:val="21"/>
                                <w:szCs w:val="21"/>
                              </w:rPr>
                            </w:pPr>
                            <w:r w:rsidRPr="00552CEC">
                              <w:rPr>
                                <w:i/>
                                <w:sz w:val="21"/>
                                <w:szCs w:val="21"/>
                              </w:rPr>
                              <w:t xml:space="preserve">(512) 471-1273 </w:t>
                            </w:r>
                            <w:r w:rsidRPr="00552CEC">
                              <w:rPr>
                                <w:rFonts w:ascii="Wingdings" w:hAnsi="Wingdings"/>
                                <w:i/>
                                <w:sz w:val="21"/>
                                <w:szCs w:val="21"/>
                              </w:rPr>
                              <w:t></w:t>
                            </w:r>
                            <w:r w:rsidRPr="00552CEC">
                              <w:rPr>
                                <w:i/>
                                <w:sz w:val="21"/>
                                <w:szCs w:val="21"/>
                              </w:rPr>
                              <w:t xml:space="preserve"> Fax (512) 471-8914</w:t>
                            </w:r>
                          </w:p>
                          <w:p w14:paraId="1196D0DC" w14:textId="77777777" w:rsidR="006A2B51" w:rsidRPr="00552CEC" w:rsidRDefault="006A2B51" w:rsidP="006A2B51">
                            <w:pPr>
                              <w:rPr>
                                <w:i/>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062E0" id="_x0000_t202" coordsize="21600,21600" o:spt="202" path="m,l,21600r21600,l21600,xe">
                <v:stroke joinstyle="miter"/>
                <v:path gradientshapeok="t" o:connecttype="rect"/>
              </v:shapetype>
              <v:shape id="Text Box 1" o:spid="_x0000_s1026" type="#_x0000_t202" style="position:absolute;margin-left:-5.8pt;margin-top:7.05pt;width:514.6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" filled="f" stroked="f">
                <v:textbox>
                  <w:txbxContent>
                    <w:p w14:paraId="1186F545" w14:textId="77777777" w:rsidR="006A2B51" w:rsidRPr="00552CEC" w:rsidRDefault="006A2B51" w:rsidP="006A2B51">
                      <w:pPr>
                        <w:pStyle w:val="Header"/>
                        <w:rPr>
                          <w:i/>
                          <w:sz w:val="21"/>
                          <w:szCs w:val="21"/>
                        </w:rPr>
                      </w:pPr>
                      <w:r w:rsidRPr="00552CEC">
                        <w:rPr>
                          <w:i/>
                          <w:sz w:val="21"/>
                          <w:szCs w:val="21"/>
                        </w:rPr>
                        <w:t xml:space="preserve">Department of Kinesiology and Health Education </w:t>
                      </w:r>
                      <w:r w:rsidRPr="00552CEC">
                        <w:rPr>
                          <w:rFonts w:ascii="Wingdings" w:hAnsi="Wingdings"/>
                          <w:i/>
                          <w:sz w:val="21"/>
                          <w:szCs w:val="21"/>
                        </w:rPr>
                        <w:t></w:t>
                      </w:r>
                      <w:r w:rsidRPr="00552CEC">
                        <w:rPr>
                          <w:i/>
                          <w:sz w:val="21"/>
                          <w:szCs w:val="21"/>
                        </w:rPr>
                        <w:t xml:space="preserve"> 2109 San Jacinto Blvd., Stop D3700, Austin, Texas, 78712-1415</w:t>
                      </w:r>
                    </w:p>
                    <w:p w14:paraId="017C1DFB" w14:textId="77777777" w:rsidR="006A2B51" w:rsidRPr="00552CEC" w:rsidRDefault="006A2B51" w:rsidP="006A2B51">
                      <w:pPr>
                        <w:pStyle w:val="Header"/>
                        <w:rPr>
                          <w:i/>
                          <w:sz w:val="21"/>
                          <w:szCs w:val="21"/>
                        </w:rPr>
                      </w:pPr>
                      <w:r w:rsidRPr="00552CEC">
                        <w:rPr>
                          <w:i/>
                          <w:sz w:val="21"/>
                          <w:szCs w:val="21"/>
                        </w:rPr>
                        <w:t xml:space="preserve">(512) 471-1273 </w:t>
                      </w:r>
                      <w:r w:rsidRPr="00552CEC">
                        <w:rPr>
                          <w:rFonts w:ascii="Wingdings" w:hAnsi="Wingdings"/>
                          <w:i/>
                          <w:sz w:val="21"/>
                          <w:szCs w:val="21"/>
                        </w:rPr>
                        <w:t></w:t>
                      </w:r>
                      <w:r w:rsidRPr="00552CEC">
                        <w:rPr>
                          <w:i/>
                          <w:sz w:val="21"/>
                          <w:szCs w:val="21"/>
                        </w:rPr>
                        <w:t xml:space="preserve"> Fax (512) 471-8914</w:t>
                      </w:r>
                    </w:p>
                    <w:p w14:paraId="1196D0DC" w14:textId="77777777" w:rsidR="006A2B51" w:rsidRPr="00552CEC" w:rsidRDefault="006A2B51" w:rsidP="006A2B51">
                      <w:pPr>
                        <w:rPr>
                          <w:i/>
                          <w:sz w:val="21"/>
                          <w:szCs w:val="21"/>
                        </w:rPr>
                      </w:pPr>
                    </w:p>
                  </w:txbxContent>
                </v:textbox>
              </v:shape>
            </w:pict>
          </mc:Fallback>
        </mc:AlternateContent>
      </w:r>
    </w:p>
    <w:p w14:paraId="470BF414" w14:textId="77777777" w:rsidR="006A2B51" w:rsidRDefault="006A2B51" w:rsidP="006A2B51">
      <w:pPr>
        <w:rPr>
          <w:rFonts w:ascii="Arial" w:hAnsi="Arial" w:cs="Arial"/>
          <w:color w:val="000000"/>
          <w:sz w:val="22"/>
          <w:szCs w:val="22"/>
        </w:rPr>
      </w:pPr>
    </w:p>
    <w:p w14:paraId="309F8ABE" w14:textId="77777777" w:rsidR="006A2B51" w:rsidRDefault="006A2B51" w:rsidP="006A2B51">
      <w:pPr>
        <w:rPr>
          <w:rFonts w:ascii="Arial" w:hAnsi="Arial" w:cs="Arial"/>
          <w:color w:val="000000"/>
          <w:sz w:val="22"/>
          <w:szCs w:val="22"/>
        </w:rPr>
      </w:pPr>
    </w:p>
    <w:p w14:paraId="739A6EF1" w14:textId="77777777" w:rsidR="006A2B51" w:rsidRDefault="006A2B51" w:rsidP="006A2B51">
      <w:pPr>
        <w:rPr>
          <w:rFonts w:ascii="Arial" w:hAnsi="Arial" w:cs="Arial"/>
          <w:color w:val="000000"/>
          <w:sz w:val="22"/>
          <w:szCs w:val="22"/>
        </w:rPr>
      </w:pPr>
    </w:p>
    <w:p w14:paraId="069EFE2D" w14:textId="77777777" w:rsidR="006A2B51" w:rsidRDefault="006A2B51" w:rsidP="006A2B51">
      <w:pPr>
        <w:rPr>
          <w:rFonts w:ascii="Arial" w:hAnsi="Arial" w:cs="Arial"/>
          <w:color w:val="000000"/>
          <w:sz w:val="22"/>
          <w:szCs w:val="22"/>
        </w:rPr>
      </w:pPr>
    </w:p>
    <w:p w14:paraId="1C89CA1C"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January 14, 2023</w:t>
      </w:r>
    </w:p>
    <w:p w14:paraId="6D1B4BC4" w14:textId="77777777" w:rsidR="006A2B51" w:rsidRPr="006A2B51" w:rsidRDefault="006A2B51" w:rsidP="006A2B51">
      <w:pPr>
        <w:pStyle w:val="Articletitle"/>
        <w:rPr>
          <w:rFonts w:asciiTheme="minorHAnsi" w:hAnsiTheme="minorHAnsi" w:cstheme="minorHAnsi"/>
          <w:b w:val="0"/>
          <w:color w:val="000000"/>
          <w:sz w:val="22"/>
          <w:szCs w:val="22"/>
        </w:rPr>
      </w:pPr>
    </w:p>
    <w:p w14:paraId="4B3695DD" w14:textId="654A98BA" w:rsidR="006A2B51" w:rsidRPr="006A2B51" w:rsidRDefault="006A2B51" w:rsidP="006A2B51">
      <w:pPr>
        <w:pStyle w:val="Articletitle"/>
        <w:rPr>
          <w:rFonts w:asciiTheme="minorHAnsi" w:hAnsiTheme="minorHAnsi" w:cstheme="minorHAnsi"/>
          <w:b w:val="0"/>
          <w:color w:val="000000"/>
          <w:sz w:val="22"/>
          <w:szCs w:val="22"/>
        </w:rPr>
      </w:pPr>
      <w:r w:rsidRPr="006A2B51">
        <w:rPr>
          <w:rFonts w:asciiTheme="minorHAnsi" w:hAnsiTheme="minorHAnsi" w:cstheme="minorHAnsi"/>
          <w:b w:val="0"/>
          <w:color w:val="000000"/>
          <w:sz w:val="22"/>
          <w:szCs w:val="22"/>
        </w:rPr>
        <w:t xml:space="preserve">Dear Paul </w:t>
      </w:r>
      <w:proofErr w:type="spellStart"/>
      <w:r w:rsidRPr="006A2B51">
        <w:rPr>
          <w:rFonts w:asciiTheme="minorHAnsi" w:hAnsiTheme="minorHAnsi" w:cstheme="minorHAnsi"/>
          <w:b w:val="0"/>
          <w:color w:val="000000"/>
          <w:sz w:val="22"/>
          <w:szCs w:val="22"/>
        </w:rPr>
        <w:t>Branscum</w:t>
      </w:r>
      <w:proofErr w:type="spellEnd"/>
      <w:r w:rsidRPr="006A2B51">
        <w:rPr>
          <w:rFonts w:asciiTheme="minorHAnsi" w:hAnsiTheme="minorHAnsi" w:cstheme="minorHAnsi"/>
          <w:b w:val="0"/>
          <w:color w:val="000000"/>
          <w:sz w:val="22"/>
          <w:szCs w:val="22"/>
        </w:rPr>
        <w:t>, PhD, RD, FAAHB, FSBM,</w:t>
      </w:r>
    </w:p>
    <w:p w14:paraId="52E96CDD" w14:textId="77777777" w:rsidR="006A2B51" w:rsidRPr="006A2B51" w:rsidRDefault="006A2B51" w:rsidP="006A2B51">
      <w:pPr>
        <w:pStyle w:val="Articletitle"/>
        <w:spacing w:line="240" w:lineRule="auto"/>
        <w:rPr>
          <w:rFonts w:asciiTheme="minorHAnsi" w:hAnsiTheme="minorHAnsi" w:cstheme="minorHAnsi"/>
          <w:bCs/>
          <w:sz w:val="22"/>
          <w:szCs w:val="22"/>
          <w:lang w:val="en-US"/>
        </w:rPr>
      </w:pPr>
      <w:r w:rsidRPr="006A2B51">
        <w:rPr>
          <w:rFonts w:asciiTheme="minorHAnsi" w:hAnsiTheme="minorHAnsi" w:cstheme="minorHAnsi"/>
          <w:b w:val="0"/>
          <w:color w:val="000000"/>
          <w:sz w:val="22"/>
          <w:szCs w:val="22"/>
        </w:rPr>
        <w:t>Please find enclosed our revised manuscript titled,</w:t>
      </w:r>
      <w:r w:rsidRPr="006A2B51">
        <w:rPr>
          <w:rFonts w:asciiTheme="minorHAnsi" w:hAnsiTheme="minorHAnsi" w:cstheme="minorHAnsi"/>
          <w:b w:val="0"/>
          <w:i/>
          <w:color w:val="000000"/>
          <w:sz w:val="22"/>
          <w:szCs w:val="22"/>
        </w:rPr>
        <w:t xml:space="preserve"> </w:t>
      </w:r>
      <w:r w:rsidRPr="006A2B51">
        <w:rPr>
          <w:rFonts w:asciiTheme="minorHAnsi" w:hAnsiTheme="minorHAnsi" w:cstheme="minorHAnsi"/>
          <w:b w:val="0"/>
          <w:i/>
          <w:iCs/>
          <w:color w:val="000000"/>
          <w:sz w:val="22"/>
          <w:szCs w:val="22"/>
        </w:rPr>
        <w:t>P</w:t>
      </w:r>
      <w:r w:rsidRPr="006A2B51">
        <w:rPr>
          <w:rFonts w:asciiTheme="minorHAnsi" w:hAnsiTheme="minorHAnsi" w:cstheme="minorHAnsi"/>
          <w:b w:val="0"/>
          <w:bCs/>
          <w:i/>
          <w:iCs/>
          <w:sz w:val="22"/>
          <w:szCs w:val="22"/>
        </w:rPr>
        <w:t>ositive</w:t>
      </w:r>
      <w:r w:rsidRPr="006A2B51">
        <w:rPr>
          <w:rFonts w:asciiTheme="minorHAnsi" w:hAnsiTheme="minorHAnsi" w:cstheme="minorHAnsi"/>
          <w:b w:val="0"/>
          <w:bCs/>
          <w:i/>
          <w:sz w:val="22"/>
          <w:szCs w:val="22"/>
        </w:rPr>
        <w:t xml:space="preserve"> College Experiences Moderate the Association Between Resilience and Anxiety Symptoms among Underrepresented College Students</w:t>
      </w:r>
      <w:r w:rsidRPr="006A2B51">
        <w:rPr>
          <w:rFonts w:asciiTheme="minorHAnsi" w:hAnsiTheme="minorHAnsi" w:cstheme="minorHAnsi"/>
          <w:b w:val="0"/>
          <w:i/>
          <w:sz w:val="22"/>
          <w:szCs w:val="22"/>
        </w:rPr>
        <w:t xml:space="preserve">, </w:t>
      </w:r>
      <w:r w:rsidRPr="006A2B51">
        <w:rPr>
          <w:rFonts w:asciiTheme="minorHAnsi" w:hAnsiTheme="minorHAnsi" w:cstheme="minorHAnsi"/>
          <w:b w:val="0"/>
          <w:color w:val="000000"/>
          <w:sz w:val="22"/>
          <w:szCs w:val="22"/>
        </w:rPr>
        <w:t xml:space="preserve">to be considered for publication in the journal, Health </w:t>
      </w:r>
      <w:proofErr w:type="spellStart"/>
      <w:r w:rsidRPr="006A2B51">
        <w:rPr>
          <w:rFonts w:asciiTheme="minorHAnsi" w:hAnsiTheme="minorHAnsi" w:cstheme="minorHAnsi"/>
          <w:b w:val="0"/>
          <w:color w:val="000000"/>
          <w:sz w:val="22"/>
          <w:szCs w:val="22"/>
        </w:rPr>
        <w:t>Behavior</w:t>
      </w:r>
      <w:proofErr w:type="spellEnd"/>
      <w:r w:rsidRPr="006A2B51">
        <w:rPr>
          <w:rFonts w:asciiTheme="minorHAnsi" w:hAnsiTheme="minorHAnsi" w:cstheme="minorHAnsi"/>
          <w:b w:val="0"/>
          <w:color w:val="000000"/>
          <w:sz w:val="22"/>
          <w:szCs w:val="22"/>
        </w:rPr>
        <w:t xml:space="preserve"> Research. The manuscript has not previously been published and is not under review in any other journal.</w:t>
      </w:r>
    </w:p>
    <w:p w14:paraId="60024668" w14:textId="77777777" w:rsidR="006A2B51" w:rsidRPr="006A2B51" w:rsidRDefault="006A2B51" w:rsidP="006A2B51">
      <w:pPr>
        <w:rPr>
          <w:rFonts w:asciiTheme="minorHAnsi" w:hAnsiTheme="minorHAnsi" w:cstheme="minorHAnsi"/>
          <w:color w:val="000000"/>
          <w:sz w:val="22"/>
          <w:szCs w:val="22"/>
        </w:rPr>
      </w:pPr>
    </w:p>
    <w:p w14:paraId="5253E1BE"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Thank you for the opportunity to submit a revised manuscript to the journal, Health Behavior Research. We look forward to your response.</w:t>
      </w:r>
    </w:p>
    <w:p w14:paraId="77080751"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br/>
      </w:r>
    </w:p>
    <w:p w14:paraId="0A0DB1B4"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Sincerely,</w:t>
      </w:r>
    </w:p>
    <w:p w14:paraId="4A6702DC"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noProof/>
          <w:color w:val="000000"/>
          <w:sz w:val="22"/>
          <w:szCs w:val="22"/>
        </w:rPr>
        <w:drawing>
          <wp:anchor distT="0" distB="0" distL="114300" distR="114300" simplePos="0" relativeHeight="251662336" behindDoc="1" locked="0" layoutInCell="1" allowOverlap="1" wp14:anchorId="5A9D6B67" wp14:editId="642E2B41">
            <wp:simplePos x="0" y="0"/>
            <wp:positionH relativeFrom="column">
              <wp:posOffset>-187960</wp:posOffset>
            </wp:positionH>
            <wp:positionV relativeFrom="paragraph">
              <wp:posOffset>100330</wp:posOffset>
            </wp:positionV>
            <wp:extent cx="1774825" cy="494665"/>
            <wp:effectExtent l="0" t="0" r="3175" b="635"/>
            <wp:wrapTight wrapText="bothSides">
              <wp:wrapPolygon edited="0">
                <wp:start x="0" y="0"/>
                <wp:lineTo x="0" y="21073"/>
                <wp:lineTo x="21484" y="21073"/>
                <wp:lineTo x="21484" y="0"/>
                <wp:lineTo x="0" y="0"/>
              </wp:wrapPolygon>
            </wp:wrapTight>
            <wp:docPr id="4" name="Picture 4" descr="MSsignatur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signatur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825" cy="494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57BCC" w14:textId="77777777" w:rsidR="006A2B51" w:rsidRPr="006A2B51" w:rsidRDefault="006A2B51" w:rsidP="006A2B51">
      <w:pPr>
        <w:rPr>
          <w:rFonts w:asciiTheme="minorHAnsi" w:hAnsiTheme="minorHAnsi" w:cstheme="minorHAnsi"/>
          <w:color w:val="000000"/>
          <w:sz w:val="22"/>
          <w:szCs w:val="22"/>
        </w:rPr>
      </w:pPr>
    </w:p>
    <w:p w14:paraId="3ACB450F"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br/>
      </w:r>
    </w:p>
    <w:p w14:paraId="23252558"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Mary A. Steinhardt</w:t>
      </w:r>
    </w:p>
    <w:p w14:paraId="63167317"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University Distinguished Teaching Professor</w:t>
      </w:r>
    </w:p>
    <w:p w14:paraId="6F4A1630"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Associate Vice-President for Research – Research Integrity Officer</w:t>
      </w:r>
    </w:p>
    <w:p w14:paraId="084231AB" w14:textId="77777777" w:rsidR="006A2B51" w:rsidRPr="006A2B51" w:rsidRDefault="006A2B51" w:rsidP="006A2B51">
      <w:pPr>
        <w:rPr>
          <w:rFonts w:asciiTheme="minorHAnsi" w:hAnsiTheme="minorHAnsi" w:cstheme="minorHAnsi"/>
          <w:color w:val="000000"/>
          <w:sz w:val="22"/>
          <w:szCs w:val="22"/>
        </w:rPr>
      </w:pPr>
    </w:p>
    <w:p w14:paraId="6E7814E8" w14:textId="77777777" w:rsidR="006A2B51" w:rsidRPr="006A2B51" w:rsidRDefault="006A2B51" w:rsidP="006A2B51">
      <w:pPr>
        <w:rPr>
          <w:rFonts w:asciiTheme="minorHAnsi" w:hAnsiTheme="minorHAnsi" w:cstheme="minorHAnsi"/>
          <w:color w:val="000000"/>
          <w:sz w:val="22"/>
          <w:szCs w:val="22"/>
        </w:rPr>
      </w:pPr>
    </w:p>
    <w:p w14:paraId="0FC6F36F" w14:textId="77777777" w:rsidR="006A2B51" w:rsidRDefault="006A2B51" w:rsidP="006A2B51">
      <w:pPr>
        <w:rPr>
          <w:rFonts w:ascii="Arial" w:hAnsi="Arial" w:cs="Arial"/>
          <w:color w:val="000000"/>
          <w:sz w:val="22"/>
          <w:szCs w:val="22"/>
        </w:rPr>
      </w:pPr>
    </w:p>
    <w:p w14:paraId="5E759335" w14:textId="77777777" w:rsidR="006A2B51" w:rsidRDefault="006A2B51" w:rsidP="006A2B51">
      <w:pPr>
        <w:rPr>
          <w:rFonts w:ascii="Arial" w:hAnsi="Arial" w:cs="Arial"/>
          <w:color w:val="000000"/>
          <w:sz w:val="22"/>
          <w:szCs w:val="22"/>
        </w:rPr>
      </w:pPr>
    </w:p>
    <w:p w14:paraId="5F9D46B2" w14:textId="77777777" w:rsidR="006A2B51" w:rsidRDefault="006A2B51" w:rsidP="006A2B51">
      <w:pPr>
        <w:rPr>
          <w:rFonts w:ascii="Arial" w:hAnsi="Arial" w:cs="Arial"/>
          <w:color w:val="000000"/>
          <w:sz w:val="22"/>
          <w:szCs w:val="22"/>
        </w:rPr>
      </w:pPr>
    </w:p>
    <w:p w14:paraId="2FAE10D4" w14:textId="77777777" w:rsidR="006A2B51" w:rsidRDefault="006A2B51" w:rsidP="006A2B51">
      <w:pPr>
        <w:rPr>
          <w:rFonts w:ascii="Arial" w:hAnsi="Arial" w:cs="Arial"/>
          <w:color w:val="000000"/>
          <w:sz w:val="22"/>
          <w:szCs w:val="22"/>
        </w:rPr>
      </w:pPr>
    </w:p>
    <w:p w14:paraId="43C859A6" w14:textId="77777777" w:rsidR="006A2B51" w:rsidRDefault="006A2B51" w:rsidP="006A2B51">
      <w:pPr>
        <w:rPr>
          <w:rFonts w:ascii="Arial" w:hAnsi="Arial" w:cs="Arial"/>
          <w:color w:val="000000"/>
          <w:sz w:val="22"/>
          <w:szCs w:val="22"/>
        </w:rPr>
      </w:pPr>
    </w:p>
    <w:p w14:paraId="78241DD4" w14:textId="77777777" w:rsidR="006A2B51" w:rsidRDefault="006A2B51" w:rsidP="006A2B51">
      <w:pPr>
        <w:rPr>
          <w:rFonts w:ascii="Arial" w:hAnsi="Arial" w:cs="Arial"/>
          <w:color w:val="000000"/>
          <w:sz w:val="22"/>
          <w:szCs w:val="22"/>
        </w:rPr>
      </w:pPr>
    </w:p>
    <w:p w14:paraId="1C9936C5" w14:textId="77777777" w:rsidR="006A2B51" w:rsidRDefault="006A2B51" w:rsidP="006A2B51">
      <w:pPr>
        <w:rPr>
          <w:rFonts w:ascii="Arial" w:hAnsi="Arial" w:cs="Arial"/>
          <w:color w:val="000000"/>
          <w:sz w:val="22"/>
          <w:szCs w:val="22"/>
        </w:rPr>
      </w:pPr>
    </w:p>
    <w:p w14:paraId="3CD6D4A5" w14:textId="77777777" w:rsidR="006A2B51" w:rsidRDefault="006A2B51" w:rsidP="006A2B51">
      <w:pPr>
        <w:rPr>
          <w:rFonts w:ascii="Arial" w:hAnsi="Arial" w:cs="Arial"/>
          <w:color w:val="000000"/>
          <w:sz w:val="22"/>
          <w:szCs w:val="22"/>
        </w:rPr>
      </w:pPr>
    </w:p>
    <w:p w14:paraId="18A896CF" w14:textId="77777777" w:rsidR="006A2B51" w:rsidRDefault="006A2B51" w:rsidP="006A2B51">
      <w:pPr>
        <w:rPr>
          <w:rFonts w:ascii="Arial" w:hAnsi="Arial" w:cs="Arial"/>
          <w:color w:val="000000"/>
          <w:sz w:val="22"/>
          <w:szCs w:val="22"/>
        </w:rPr>
      </w:pPr>
    </w:p>
    <w:p w14:paraId="16AE4703" w14:textId="77777777" w:rsidR="006A2B51" w:rsidRDefault="006A2B51" w:rsidP="006A2B51">
      <w:pPr>
        <w:rPr>
          <w:rFonts w:ascii="Arial" w:hAnsi="Arial" w:cs="Arial"/>
          <w:color w:val="000000"/>
          <w:sz w:val="22"/>
          <w:szCs w:val="22"/>
        </w:rPr>
      </w:pPr>
    </w:p>
    <w:p w14:paraId="36E70054" w14:textId="77777777" w:rsidR="006A2B51" w:rsidRDefault="006A2B51" w:rsidP="006A2B51">
      <w:pPr>
        <w:rPr>
          <w:rFonts w:ascii="Arial" w:hAnsi="Arial" w:cs="Arial"/>
          <w:color w:val="000000"/>
          <w:sz w:val="22"/>
          <w:szCs w:val="22"/>
        </w:rPr>
      </w:pPr>
    </w:p>
    <w:p w14:paraId="57045FDF" w14:textId="77777777" w:rsidR="006A2B51" w:rsidRDefault="006A2B51" w:rsidP="006A2B51">
      <w:pPr>
        <w:rPr>
          <w:rFonts w:ascii="Arial" w:hAnsi="Arial" w:cs="Arial"/>
          <w:color w:val="000000"/>
          <w:sz w:val="22"/>
          <w:szCs w:val="22"/>
        </w:rPr>
      </w:pPr>
    </w:p>
    <w:p w14:paraId="5DDEC12E" w14:textId="77777777" w:rsidR="006A2B51" w:rsidRDefault="006A2B51" w:rsidP="006A2B51">
      <w:pPr>
        <w:rPr>
          <w:rFonts w:ascii="Arial" w:hAnsi="Arial" w:cs="Arial"/>
          <w:color w:val="000000"/>
          <w:sz w:val="22"/>
          <w:szCs w:val="22"/>
        </w:rPr>
      </w:pPr>
    </w:p>
    <w:p w14:paraId="45A5F361" w14:textId="77777777" w:rsidR="006A2B51" w:rsidRDefault="006A2B51" w:rsidP="006A2B51">
      <w:pPr>
        <w:rPr>
          <w:rFonts w:ascii="Arial" w:hAnsi="Arial" w:cs="Arial"/>
          <w:color w:val="000000"/>
          <w:sz w:val="22"/>
          <w:szCs w:val="22"/>
        </w:rPr>
      </w:pPr>
    </w:p>
    <w:p w14:paraId="0A7698C6" w14:textId="77777777" w:rsidR="006A2B51" w:rsidRDefault="006A2B51" w:rsidP="006A2B51">
      <w:pPr>
        <w:rPr>
          <w:rFonts w:ascii="Arial" w:hAnsi="Arial" w:cs="Arial"/>
          <w:color w:val="000000"/>
          <w:sz w:val="22"/>
          <w:szCs w:val="22"/>
        </w:rPr>
      </w:pPr>
    </w:p>
    <w:p w14:paraId="02CF90D1" w14:textId="77777777" w:rsidR="006A2B51" w:rsidRDefault="006A2B51" w:rsidP="006A2B51">
      <w:pPr>
        <w:rPr>
          <w:rFonts w:ascii="Arial" w:hAnsi="Arial" w:cs="Arial"/>
          <w:color w:val="000000"/>
          <w:sz w:val="22"/>
          <w:szCs w:val="22"/>
        </w:rPr>
      </w:pPr>
    </w:p>
    <w:p w14:paraId="6FF34DD5" w14:textId="77777777" w:rsidR="006A2B51" w:rsidRDefault="006A2B51" w:rsidP="006A2B51">
      <w:pPr>
        <w:rPr>
          <w:rFonts w:ascii="Arial" w:hAnsi="Arial" w:cs="Arial"/>
          <w:color w:val="000000"/>
          <w:sz w:val="22"/>
          <w:szCs w:val="22"/>
        </w:rPr>
      </w:pPr>
    </w:p>
    <w:p w14:paraId="63FDCF27" w14:textId="77777777" w:rsidR="006A2B51" w:rsidRDefault="006A2B51" w:rsidP="006A2B51">
      <w:pPr>
        <w:rPr>
          <w:rFonts w:ascii="Arial" w:hAnsi="Arial" w:cs="Arial"/>
          <w:color w:val="000000"/>
          <w:sz w:val="22"/>
          <w:szCs w:val="22"/>
        </w:rPr>
      </w:pPr>
    </w:p>
    <w:p w14:paraId="1B00F5CB" w14:textId="77777777" w:rsidR="006A2B51" w:rsidRPr="006A2B51" w:rsidRDefault="006A2B51" w:rsidP="006A2B51">
      <w:pPr>
        <w:pStyle w:val="Authornames"/>
        <w:snapToGrid w:val="0"/>
        <w:spacing w:before="0" w:line="240" w:lineRule="auto"/>
        <w:jc w:val="center"/>
        <w:rPr>
          <w:rFonts w:asciiTheme="minorHAnsi" w:hAnsiTheme="minorHAnsi" w:cstheme="minorHAnsi"/>
          <w:b/>
          <w:sz w:val="24"/>
        </w:rPr>
      </w:pPr>
      <w:r w:rsidRPr="006A2B51">
        <w:rPr>
          <w:rFonts w:asciiTheme="minorHAnsi" w:hAnsiTheme="minorHAnsi" w:cstheme="minorHAnsi"/>
          <w:b/>
          <w:sz w:val="24"/>
        </w:rPr>
        <w:lastRenderedPageBreak/>
        <w:t>Positive College Experiences Moderate the Association Between Resilience and Anxiety Symptoms among Underrepresented College Students</w:t>
      </w:r>
    </w:p>
    <w:p w14:paraId="0EE2326F" w14:textId="77777777" w:rsidR="006A2B51" w:rsidRPr="006A2B51" w:rsidRDefault="006A2B51" w:rsidP="006A2B51">
      <w:pPr>
        <w:rPr>
          <w:rFonts w:asciiTheme="minorHAnsi" w:hAnsiTheme="minorHAnsi" w:cstheme="minorHAnsi"/>
          <w:color w:val="FF0000"/>
          <w:sz w:val="22"/>
          <w:szCs w:val="22"/>
        </w:rPr>
      </w:pPr>
    </w:p>
    <w:p w14:paraId="16B57CF5" w14:textId="098E7E96" w:rsidR="006A2B51" w:rsidRPr="006A2B51" w:rsidRDefault="006A2B51" w:rsidP="006A2B51">
      <w:pPr>
        <w:widowControl w:val="0"/>
        <w:rPr>
          <w:rFonts w:asciiTheme="minorHAnsi" w:hAnsiTheme="minorHAnsi" w:cstheme="minorHAnsi"/>
          <w:color w:val="FF0000"/>
          <w:sz w:val="22"/>
          <w:szCs w:val="22"/>
        </w:rPr>
      </w:pPr>
      <w:r w:rsidRPr="006A2B51">
        <w:rPr>
          <w:rFonts w:asciiTheme="minorHAnsi" w:hAnsiTheme="minorHAnsi" w:cstheme="minorHAnsi"/>
          <w:b/>
          <w:bCs/>
          <w:color w:val="000000"/>
          <w:sz w:val="22"/>
          <w:szCs w:val="22"/>
        </w:rPr>
        <w:t>Reviewer 1:</w:t>
      </w:r>
      <w:r w:rsidRPr="006A2B51">
        <w:rPr>
          <w:rFonts w:asciiTheme="minorHAnsi" w:hAnsiTheme="minorHAnsi" w:cstheme="minorHAnsi"/>
          <w:b/>
          <w:bCs/>
          <w:color w:val="000000"/>
          <w:sz w:val="22"/>
          <w:szCs w:val="22"/>
        </w:rPr>
        <w:br/>
      </w:r>
      <w:r w:rsidRPr="006A2B51">
        <w:rPr>
          <w:rFonts w:asciiTheme="minorHAnsi" w:hAnsiTheme="minorHAnsi" w:cstheme="minorHAnsi"/>
          <w:color w:val="000000"/>
          <w:sz w:val="22"/>
          <w:szCs w:val="22"/>
        </w:rPr>
        <w:t>Thank you for the opportunity to review this manuscript, which describes a study examining associations between resilience, anxiety, and positive college experiences among underrepresented college students.</w:t>
      </w:r>
      <w:r w:rsidRPr="006A2B51">
        <w:rPr>
          <w:rFonts w:asciiTheme="minorHAnsi" w:hAnsiTheme="minorHAnsi" w:cstheme="minorHAnsi"/>
          <w:color w:val="000000"/>
          <w:sz w:val="22"/>
          <w:szCs w:val="22"/>
        </w:rPr>
        <w:br/>
      </w:r>
      <w:r w:rsidRPr="006A2B51">
        <w:rPr>
          <w:rFonts w:asciiTheme="minorHAnsi" w:hAnsiTheme="minorHAnsi" w:cstheme="minorHAnsi"/>
          <w:color w:val="0072C6"/>
          <w:sz w:val="22"/>
          <w:szCs w:val="22"/>
        </w:rPr>
        <w:t xml:space="preserve">My main feedback is round the extent to which the authors set up and discuss the </w:t>
      </w:r>
      <w:proofErr w:type="spellStart"/>
      <w:r w:rsidRPr="006A2B51">
        <w:rPr>
          <w:rFonts w:asciiTheme="minorHAnsi" w:hAnsiTheme="minorHAnsi" w:cstheme="minorHAnsi"/>
          <w:color w:val="0072C6"/>
          <w:sz w:val="22"/>
          <w:szCs w:val="22"/>
        </w:rPr>
        <w:t>moderational</w:t>
      </w:r>
      <w:proofErr w:type="spellEnd"/>
      <w:r w:rsidRPr="006A2B51">
        <w:rPr>
          <w:rFonts w:asciiTheme="minorHAnsi" w:hAnsiTheme="minorHAnsi" w:cstheme="minorHAnsi"/>
          <w:color w:val="0072C6"/>
          <w:sz w:val="22"/>
          <w:szCs w:val="22"/>
        </w:rPr>
        <w:t xml:space="preserve"> analyses, and the extent to which they contend with the limitations imposed by the sectional nature of the data.</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t xml:space="preserve">In the introduction, I do not think the authors do enough to set up the current set of analyses. The introduction does establish a link between resilience and anxiety as well as a link between positive college experiences and well-being. My issue is that I'm not seeing much explanation/justification for why the authors ran their analyses the way they did (i.e., that positive college experiences may moderate the associated between resilience and anxiety). And without this, I just am </w:t>
      </w:r>
      <w:proofErr w:type="gramStart"/>
      <w:r w:rsidRPr="006A2B51">
        <w:rPr>
          <w:rFonts w:asciiTheme="minorHAnsi" w:hAnsiTheme="minorHAnsi" w:cstheme="minorHAnsi"/>
          <w:color w:val="000000"/>
          <w:sz w:val="22"/>
          <w:szCs w:val="22"/>
        </w:rPr>
        <w:t>struggle</w:t>
      </w:r>
      <w:proofErr w:type="gramEnd"/>
      <w:r w:rsidRPr="006A2B51">
        <w:rPr>
          <w:rFonts w:asciiTheme="minorHAnsi" w:hAnsiTheme="minorHAnsi" w:cstheme="minorHAnsi"/>
          <w:color w:val="000000"/>
          <w:sz w:val="22"/>
          <w:szCs w:val="22"/>
        </w:rPr>
        <w:t xml:space="preserve"> to grasp the concept of positive experiences as a moderator of resilience. There is just one sentence, citing a nonempirical and, I think, non-peer reviewed article from 1991, which focused on children and not college students, that "suggested" that caring relationships/opportunities may impact the resilience of mental health. Relatedly, the authors do not state </w:t>
      </w:r>
      <w:proofErr w:type="gramStart"/>
      <w:r w:rsidRPr="006A2B51">
        <w:rPr>
          <w:rFonts w:asciiTheme="minorHAnsi" w:hAnsiTheme="minorHAnsi" w:cstheme="minorHAnsi"/>
          <w:color w:val="000000"/>
          <w:sz w:val="22"/>
          <w:szCs w:val="22"/>
        </w:rPr>
        <w:t>an a</w:t>
      </w:r>
      <w:proofErr w:type="gramEnd"/>
      <w:r w:rsidRPr="006A2B51">
        <w:rPr>
          <w:rFonts w:asciiTheme="minorHAnsi" w:hAnsiTheme="minorHAnsi" w:cstheme="minorHAnsi"/>
          <w:color w:val="000000"/>
          <w:sz w:val="22"/>
          <w:szCs w:val="22"/>
        </w:rPr>
        <w:t xml:space="preserve"> prior hypothesis about what they expected to find. Without more justification and clear hypotheses for the analyses, it can feel like there the variables were cherry-picking around these significant findings.</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xml:space="preserve">: We have rewritten and added additional explanation/justification from the literature for the proposed hypothesis that positive college experiences moderate the association between resilience and anxiety (pages </w:t>
      </w:r>
      <w:r w:rsidR="00E05454">
        <w:rPr>
          <w:rFonts w:asciiTheme="minorHAnsi" w:hAnsiTheme="minorHAnsi" w:cstheme="minorHAnsi"/>
          <w:color w:val="FF0000"/>
          <w:sz w:val="22"/>
          <w:szCs w:val="22"/>
        </w:rPr>
        <w:t>12</w:t>
      </w:r>
      <w:r w:rsidRPr="006A2B51">
        <w:rPr>
          <w:rFonts w:asciiTheme="minorHAnsi" w:hAnsiTheme="minorHAnsi" w:cstheme="minorHAnsi"/>
          <w:color w:val="FF0000"/>
          <w:sz w:val="22"/>
          <w:szCs w:val="22"/>
        </w:rPr>
        <w:t xml:space="preserve"> &amp; </w:t>
      </w:r>
      <w:r w:rsidR="00E05454">
        <w:rPr>
          <w:rFonts w:asciiTheme="minorHAnsi" w:hAnsiTheme="minorHAnsi" w:cstheme="minorHAnsi"/>
          <w:color w:val="FF0000"/>
          <w:sz w:val="22"/>
          <w:szCs w:val="22"/>
        </w:rPr>
        <w:t>13</w:t>
      </w:r>
      <w:r w:rsidRPr="006A2B51">
        <w:rPr>
          <w:rFonts w:asciiTheme="minorHAnsi" w:hAnsiTheme="minorHAnsi" w:cstheme="minorHAnsi"/>
          <w:color w:val="FF0000"/>
          <w:sz w:val="22"/>
          <w:szCs w:val="22"/>
        </w:rPr>
        <w:t>). These changes have strengthened the manuscript – thank you.</w:t>
      </w:r>
    </w:p>
    <w:p w14:paraId="4B87720F" w14:textId="77777777" w:rsidR="006A2B51" w:rsidRPr="006A2B51" w:rsidRDefault="006A2B51" w:rsidP="006A2B51">
      <w:pPr>
        <w:widowControl w:val="0"/>
        <w:rPr>
          <w:rFonts w:asciiTheme="minorHAnsi" w:hAnsiTheme="minorHAnsi" w:cstheme="minorHAnsi"/>
          <w:color w:val="FF0000"/>
          <w:sz w:val="22"/>
          <w:szCs w:val="22"/>
        </w:rPr>
      </w:pPr>
    </w:p>
    <w:p w14:paraId="262F85FD" w14:textId="0DF09DA8" w:rsidR="006A2B51" w:rsidRPr="006A2B51" w:rsidRDefault="006A2B51" w:rsidP="006A2B51">
      <w:pPr>
        <w:widowControl w:val="0"/>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We have also stated our hypotheses more clearly:  Specifically, we hypothesized that (page </w:t>
      </w:r>
      <w:r w:rsidR="00E05454">
        <w:rPr>
          <w:rFonts w:asciiTheme="minorHAnsi" w:hAnsiTheme="minorHAnsi" w:cstheme="minorHAnsi"/>
          <w:color w:val="FF0000"/>
          <w:sz w:val="22"/>
          <w:szCs w:val="22"/>
        </w:rPr>
        <w:t>13</w:t>
      </w:r>
      <w:r w:rsidRPr="006A2B51">
        <w:rPr>
          <w:rFonts w:asciiTheme="minorHAnsi" w:hAnsiTheme="minorHAnsi" w:cstheme="minorHAnsi"/>
          <w:color w:val="FF0000"/>
          <w:sz w:val="22"/>
          <w:szCs w:val="22"/>
        </w:rPr>
        <w:t xml:space="preserve">): </w:t>
      </w:r>
    </w:p>
    <w:p w14:paraId="0833FAE7" w14:textId="77777777" w:rsidR="006A2B51" w:rsidRPr="006A2B51" w:rsidRDefault="006A2B51" w:rsidP="006A2B51">
      <w:pPr>
        <w:widowControl w:val="0"/>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t>“1) resilience is negatively associated with anxiety symptoms; 2) positive college experiences are negatively associated with anxiety symptoms; and 3) the product of resilience and positive college experiences is associated with anxiety symptoms, such that high levels of positive college experiences moderate the impact of resilience on anxiety symptoms.”</w:t>
      </w:r>
    </w:p>
    <w:p w14:paraId="4D2D280A" w14:textId="77777777"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 </w:t>
      </w:r>
    </w:p>
    <w:p w14:paraId="5865E358" w14:textId="08BF9566"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Regarding limitations imposed by the cross-sectional nature of the data, we have added consideration of potential unmeasured confounding variables to the discussion (pages </w:t>
      </w:r>
      <w:r w:rsidR="00E05454">
        <w:rPr>
          <w:rFonts w:asciiTheme="minorHAnsi" w:hAnsiTheme="minorHAnsi" w:cstheme="minorHAnsi"/>
          <w:color w:val="FF0000"/>
          <w:sz w:val="22"/>
          <w:szCs w:val="22"/>
        </w:rPr>
        <w:t>22</w:t>
      </w:r>
      <w:r w:rsidRPr="006A2B51">
        <w:rPr>
          <w:rFonts w:asciiTheme="minorHAnsi" w:hAnsiTheme="minorHAnsi" w:cstheme="minorHAnsi"/>
          <w:color w:val="FF0000"/>
          <w:sz w:val="22"/>
          <w:szCs w:val="22"/>
        </w:rPr>
        <w:t xml:space="preserve"> &amp; </w:t>
      </w:r>
      <w:r w:rsidR="00E05454">
        <w:rPr>
          <w:rFonts w:asciiTheme="minorHAnsi" w:hAnsiTheme="minorHAnsi" w:cstheme="minorHAnsi"/>
          <w:color w:val="FF0000"/>
          <w:sz w:val="22"/>
          <w:szCs w:val="22"/>
        </w:rPr>
        <w:t>23</w:t>
      </w:r>
      <w:r w:rsidRPr="006A2B51">
        <w:rPr>
          <w:rFonts w:asciiTheme="minorHAnsi" w:hAnsiTheme="minorHAnsi" w:cstheme="minorHAnsi"/>
          <w:color w:val="FF0000"/>
          <w:sz w:val="22"/>
          <w:szCs w:val="22"/>
        </w:rPr>
        <w:t>):</w:t>
      </w:r>
    </w:p>
    <w:p w14:paraId="57CF8D65" w14:textId="77777777" w:rsidR="006A2B51" w:rsidRPr="006A2B51" w:rsidRDefault="006A2B51" w:rsidP="006A2B51">
      <w:pPr>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t>“</w:t>
      </w:r>
      <w:r w:rsidRPr="006A2B51">
        <w:rPr>
          <w:rFonts w:asciiTheme="minorHAnsi" w:hAnsiTheme="minorHAnsi" w:cstheme="minorHAnsi"/>
          <w:color w:val="FF0000"/>
          <w:sz w:val="22"/>
          <w:szCs w:val="22"/>
          <w:lang w:val="en-GB"/>
        </w:rPr>
        <w:t>It is possible that other variables may account for some of the observed associations or that anxiety symptoms reciprocally contribute to positive college experiences and resilience. For example, personality traits such as extraversion have demonstrated a positive association with resilience among university students in the U.S. (Campbell-Sills et al., 2006) and China (Shen et al., 2021). Additionally, intolerance of uncertainty (</w:t>
      </w:r>
      <w:proofErr w:type="spellStart"/>
      <w:r w:rsidRPr="006A2B51">
        <w:rPr>
          <w:rFonts w:asciiTheme="minorHAnsi" w:hAnsiTheme="minorHAnsi" w:cstheme="minorHAnsi"/>
          <w:color w:val="FF0000"/>
          <w:sz w:val="22"/>
          <w:szCs w:val="22"/>
          <w:lang w:val="en-GB"/>
        </w:rPr>
        <w:t>Nekic</w:t>
      </w:r>
      <w:proofErr w:type="spellEnd"/>
      <w:r w:rsidRPr="006A2B51">
        <w:rPr>
          <w:rFonts w:asciiTheme="minorHAnsi" w:hAnsiTheme="minorHAnsi" w:cstheme="minorHAnsi"/>
          <w:color w:val="FF0000"/>
          <w:sz w:val="22"/>
          <w:szCs w:val="22"/>
          <w:lang w:val="en-GB"/>
        </w:rPr>
        <w:t xml:space="preserve"> &amp; </w:t>
      </w:r>
      <w:proofErr w:type="spellStart"/>
      <w:r w:rsidRPr="006A2B51">
        <w:rPr>
          <w:rFonts w:asciiTheme="minorHAnsi" w:hAnsiTheme="minorHAnsi" w:cstheme="minorHAnsi"/>
          <w:color w:val="FF0000"/>
          <w:sz w:val="22"/>
          <w:szCs w:val="22"/>
          <w:lang w:val="en-GB"/>
        </w:rPr>
        <w:t>Mamic</w:t>
      </w:r>
      <w:proofErr w:type="spellEnd"/>
      <w:r w:rsidRPr="006A2B51">
        <w:rPr>
          <w:rFonts w:asciiTheme="minorHAnsi" w:hAnsiTheme="minorHAnsi" w:cstheme="minorHAnsi"/>
          <w:color w:val="FF0000"/>
          <w:sz w:val="22"/>
          <w:szCs w:val="22"/>
          <w:lang w:val="en-GB"/>
        </w:rPr>
        <w:t>, 2023), alcohol consumption (</w:t>
      </w:r>
      <w:r w:rsidRPr="006A2B51">
        <w:rPr>
          <w:rFonts w:asciiTheme="minorHAnsi" w:hAnsiTheme="minorHAnsi" w:cstheme="minorHAnsi"/>
          <w:color w:val="FF0000"/>
          <w:sz w:val="22"/>
          <w:szCs w:val="22"/>
        </w:rPr>
        <w:t>Ramón-</w:t>
      </w:r>
      <w:proofErr w:type="spellStart"/>
      <w:r w:rsidRPr="006A2B51">
        <w:rPr>
          <w:rFonts w:asciiTheme="minorHAnsi" w:hAnsiTheme="minorHAnsi" w:cstheme="minorHAnsi"/>
          <w:color w:val="FF0000"/>
          <w:sz w:val="22"/>
          <w:szCs w:val="22"/>
        </w:rPr>
        <w:t>Arbués</w:t>
      </w:r>
      <w:proofErr w:type="spellEnd"/>
      <w:r w:rsidRPr="006A2B51">
        <w:rPr>
          <w:rFonts w:asciiTheme="minorHAnsi" w:hAnsiTheme="minorHAnsi" w:cstheme="minorHAnsi"/>
          <w:color w:val="FF0000"/>
          <w:sz w:val="22"/>
          <w:szCs w:val="22"/>
          <w:lang w:val="en-GB"/>
        </w:rPr>
        <w:t xml:space="preserve"> et al., 2020), academic performance, pressure to succeed, finances, and family and friend relationships (</w:t>
      </w:r>
      <w:proofErr w:type="spellStart"/>
      <w:r w:rsidRPr="006A2B51">
        <w:rPr>
          <w:rFonts w:asciiTheme="minorHAnsi" w:hAnsiTheme="minorHAnsi" w:cstheme="minorHAnsi"/>
          <w:color w:val="FF0000"/>
          <w:sz w:val="22"/>
          <w:szCs w:val="22"/>
          <w:lang w:val="en-GB"/>
        </w:rPr>
        <w:t>Beiter</w:t>
      </w:r>
      <w:proofErr w:type="spellEnd"/>
      <w:r w:rsidRPr="006A2B51">
        <w:rPr>
          <w:rFonts w:asciiTheme="minorHAnsi" w:hAnsiTheme="minorHAnsi" w:cstheme="minorHAnsi"/>
          <w:color w:val="FF0000"/>
          <w:sz w:val="22"/>
          <w:szCs w:val="22"/>
          <w:lang w:val="en-GB"/>
        </w:rPr>
        <w:t xml:space="preserve"> et al., 2015) are all associated with anxiety and likely influence students’ college experiences and resilience. Future research using prospective designs and examining additional possible determinants should further examine the nature of the predictive associations among resilience, positive college experiences, and anxiety across time.</w:t>
      </w:r>
      <w:r w:rsidRPr="006A2B51">
        <w:rPr>
          <w:rFonts w:asciiTheme="minorHAnsi" w:hAnsiTheme="minorHAnsi" w:cstheme="minorHAnsi"/>
          <w:color w:val="FF0000"/>
          <w:sz w:val="22"/>
          <w:szCs w:val="22"/>
        </w:rPr>
        <w:t>”</w:t>
      </w:r>
    </w:p>
    <w:p w14:paraId="50704125" w14:textId="77777777" w:rsidR="006A2B51" w:rsidRPr="006A2B51" w:rsidRDefault="006A2B51" w:rsidP="006A2B51">
      <w:pPr>
        <w:rPr>
          <w:rFonts w:asciiTheme="minorHAnsi" w:hAnsiTheme="minorHAnsi" w:cstheme="minorHAnsi"/>
          <w:color w:val="000000"/>
          <w:sz w:val="22"/>
          <w:szCs w:val="22"/>
        </w:rPr>
      </w:pPr>
    </w:p>
    <w:p w14:paraId="7D800007" w14:textId="0224F241"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000000"/>
          <w:sz w:val="22"/>
          <w:szCs w:val="22"/>
        </w:rPr>
        <w:t xml:space="preserve">I think the authors need to justify their </w:t>
      </w:r>
      <w:proofErr w:type="gramStart"/>
      <w:r w:rsidRPr="006A2B51">
        <w:rPr>
          <w:rFonts w:asciiTheme="minorHAnsi" w:hAnsiTheme="minorHAnsi" w:cstheme="minorHAnsi"/>
          <w:color w:val="000000"/>
          <w:sz w:val="22"/>
          <w:szCs w:val="22"/>
        </w:rPr>
        <w:t>decision, and</w:t>
      </w:r>
      <w:proofErr w:type="gramEnd"/>
      <w:r w:rsidRPr="006A2B51">
        <w:rPr>
          <w:rFonts w:asciiTheme="minorHAnsi" w:hAnsiTheme="minorHAnsi" w:cstheme="minorHAnsi"/>
          <w:color w:val="000000"/>
          <w:sz w:val="22"/>
          <w:szCs w:val="22"/>
        </w:rPr>
        <w:t xml:space="preserve"> acknowledge the limitations to using resilience as a predictor and anxiety as an outcome – even though the relationship is likely much more complex. There seems to be an implicit assumption that resilience is a fixed trait while anxiety may be a more fluctuating state, and therefore resilience has a unidirectional relationship through which resilience reduces anxiety. There is an entire and robust literature challenging the idea that resilience is a fixed trait.</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lastRenderedPageBreak/>
        <w:t>Response</w:t>
      </w:r>
      <w:r w:rsidRPr="006A2B51">
        <w:rPr>
          <w:rFonts w:asciiTheme="minorHAnsi" w:hAnsiTheme="minorHAnsi" w:cstheme="minorHAnsi"/>
          <w:color w:val="FF0000"/>
          <w:sz w:val="22"/>
          <w:szCs w:val="22"/>
        </w:rPr>
        <w:t xml:space="preserve">:  We agree that resilience is not a fixed trait and that the association between resilience and anxiety is complex. In the introduction, we discuss interventions designed to enhance resilience (page </w:t>
      </w:r>
      <w:r w:rsidR="00E05454">
        <w:rPr>
          <w:rFonts w:asciiTheme="minorHAnsi" w:hAnsiTheme="minorHAnsi" w:cstheme="minorHAnsi"/>
          <w:color w:val="FF0000"/>
          <w:sz w:val="22"/>
          <w:szCs w:val="22"/>
        </w:rPr>
        <w:t>10</w:t>
      </w:r>
      <w:r w:rsidRPr="006A2B51">
        <w:rPr>
          <w:rFonts w:asciiTheme="minorHAnsi" w:hAnsiTheme="minorHAnsi" w:cstheme="minorHAnsi"/>
          <w:color w:val="FF0000"/>
          <w:sz w:val="22"/>
          <w:szCs w:val="22"/>
        </w:rPr>
        <w:t xml:space="preserve">), suggesting that resilience can be modified. In the discussion section, we have added the following limitation (page </w:t>
      </w:r>
      <w:r w:rsidR="00E05454">
        <w:rPr>
          <w:rFonts w:asciiTheme="minorHAnsi" w:hAnsiTheme="minorHAnsi" w:cstheme="minorHAnsi"/>
          <w:color w:val="FF0000"/>
          <w:sz w:val="22"/>
          <w:szCs w:val="22"/>
        </w:rPr>
        <w:t>22</w:t>
      </w:r>
      <w:r w:rsidRPr="006A2B51">
        <w:rPr>
          <w:rFonts w:asciiTheme="minorHAnsi" w:hAnsiTheme="minorHAnsi" w:cstheme="minorHAnsi"/>
          <w:color w:val="FF0000"/>
          <w:sz w:val="22"/>
          <w:szCs w:val="22"/>
        </w:rPr>
        <w:t>): “</w:t>
      </w:r>
      <w:r w:rsidRPr="006A2B51">
        <w:rPr>
          <w:rFonts w:asciiTheme="minorHAnsi" w:hAnsiTheme="minorHAnsi" w:cstheme="minorHAnsi"/>
          <w:color w:val="FF0000"/>
          <w:sz w:val="22"/>
          <w:szCs w:val="22"/>
          <w:lang w:val="en-GB"/>
        </w:rPr>
        <w:t>It is possible that other variables account for some of the observed associations or that anxiety symptoms reciprocally contribute to positive college experiences and resilience.”</w:t>
      </w:r>
    </w:p>
    <w:p w14:paraId="328E19B6" w14:textId="77777777" w:rsidR="006A2B51" w:rsidRPr="006A2B51" w:rsidRDefault="006A2B51" w:rsidP="006A2B51">
      <w:pPr>
        <w:rPr>
          <w:rFonts w:asciiTheme="minorHAnsi" w:hAnsiTheme="minorHAnsi" w:cstheme="minorHAnsi"/>
          <w:color w:val="000000"/>
          <w:sz w:val="22"/>
          <w:szCs w:val="22"/>
        </w:rPr>
      </w:pPr>
    </w:p>
    <w:p w14:paraId="107D16B0" w14:textId="77777777"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000000"/>
          <w:sz w:val="22"/>
          <w:szCs w:val="22"/>
        </w:rPr>
        <w:t xml:space="preserve">Related to the comment above, the authors similarly do not do enough to specifically explain the </w:t>
      </w:r>
      <w:proofErr w:type="spellStart"/>
      <w:r w:rsidRPr="006A2B51">
        <w:rPr>
          <w:rFonts w:asciiTheme="minorHAnsi" w:hAnsiTheme="minorHAnsi" w:cstheme="minorHAnsi"/>
          <w:color w:val="000000"/>
          <w:sz w:val="22"/>
          <w:szCs w:val="22"/>
        </w:rPr>
        <w:t>moderational</w:t>
      </w:r>
      <w:proofErr w:type="spellEnd"/>
      <w:r w:rsidRPr="006A2B51">
        <w:rPr>
          <w:rFonts w:asciiTheme="minorHAnsi" w:hAnsiTheme="minorHAnsi" w:cstheme="minorHAnsi"/>
          <w:color w:val="000000"/>
          <w:sz w:val="22"/>
          <w:szCs w:val="22"/>
        </w:rPr>
        <w:t xml:space="preserve"> finding in the discussion section. </w:t>
      </w:r>
      <w:proofErr w:type="gramStart"/>
      <w:r w:rsidRPr="006A2B51">
        <w:rPr>
          <w:rFonts w:asciiTheme="minorHAnsi" w:hAnsiTheme="minorHAnsi" w:cstheme="minorHAnsi"/>
          <w:color w:val="000000"/>
          <w:sz w:val="22"/>
          <w:szCs w:val="22"/>
        </w:rPr>
        <w:t>Similar to</w:t>
      </w:r>
      <w:proofErr w:type="gramEnd"/>
      <w:r w:rsidRPr="006A2B51">
        <w:rPr>
          <w:rFonts w:asciiTheme="minorHAnsi" w:hAnsiTheme="minorHAnsi" w:cstheme="minorHAnsi"/>
          <w:color w:val="000000"/>
          <w:sz w:val="22"/>
          <w:szCs w:val="22"/>
        </w:rPr>
        <w:t xml:space="preserve"> the introduction, the discussion reiterates the link between anxiety and resilience, and positive college experiences with various aspects of well-being, but I am not seeing a clear discussion why/how positive college experience may "enhance" the link between resilience and anxiety, specifically.</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We reorganized and expanded the discussion to illustrate potential mechanisms by which positive college experiences enhance the link between resilience and anxiety. Two notable additions were made:</w:t>
      </w:r>
    </w:p>
    <w:p w14:paraId="29DC20ED" w14:textId="62A352EC" w:rsidR="006A2B51" w:rsidRPr="006A2B51" w:rsidRDefault="006A2B51" w:rsidP="006A2B51">
      <w:pPr>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 1 (top of page </w:t>
      </w:r>
      <w:r w:rsidR="003B22C5">
        <w:rPr>
          <w:rFonts w:asciiTheme="minorHAnsi" w:hAnsiTheme="minorHAnsi" w:cstheme="minorHAnsi"/>
          <w:color w:val="FF0000"/>
          <w:sz w:val="22"/>
          <w:szCs w:val="22"/>
        </w:rPr>
        <w:t>21</w:t>
      </w:r>
      <w:r w:rsidRPr="006A2B51">
        <w:rPr>
          <w:rFonts w:asciiTheme="minorHAnsi" w:hAnsiTheme="minorHAnsi" w:cstheme="minorHAnsi"/>
          <w:color w:val="FF0000"/>
          <w:sz w:val="22"/>
          <w:szCs w:val="22"/>
        </w:rPr>
        <w:t>): “</w:t>
      </w:r>
      <w:r w:rsidRPr="006A2B51">
        <w:rPr>
          <w:rFonts w:asciiTheme="minorHAnsi" w:hAnsiTheme="minorHAnsi" w:cstheme="minorHAnsi"/>
          <w:color w:val="FF0000"/>
          <w:sz w:val="22"/>
          <w:szCs w:val="22"/>
          <w:lang w:val="en-GB"/>
        </w:rPr>
        <w:t xml:space="preserve">These positive experiences of support foster adjustment and </w:t>
      </w:r>
      <w:r w:rsidRPr="006A2B51">
        <w:rPr>
          <w:rFonts w:asciiTheme="minorHAnsi" w:hAnsiTheme="minorHAnsi" w:cstheme="minorHAnsi"/>
          <w:color w:val="FF0000"/>
          <w:sz w:val="22"/>
          <w:szCs w:val="22"/>
        </w:rPr>
        <w:t>enable a stress enhancing mindset that can reduce the impact of stress on anxiety symptoms (</w:t>
      </w:r>
      <w:proofErr w:type="spellStart"/>
      <w:r w:rsidRPr="006A2B51">
        <w:rPr>
          <w:rFonts w:asciiTheme="minorHAnsi" w:hAnsiTheme="minorHAnsi" w:cstheme="minorHAnsi"/>
          <w:color w:val="FF0000"/>
          <w:sz w:val="22"/>
          <w:szCs w:val="22"/>
        </w:rPr>
        <w:t>Huebschmann</w:t>
      </w:r>
      <w:proofErr w:type="spellEnd"/>
      <w:r w:rsidRPr="006A2B51">
        <w:rPr>
          <w:rFonts w:asciiTheme="minorHAnsi" w:hAnsiTheme="minorHAnsi" w:cstheme="minorHAnsi"/>
          <w:color w:val="FF0000"/>
          <w:sz w:val="22"/>
          <w:szCs w:val="22"/>
        </w:rPr>
        <w:t xml:space="preserve"> &amp; Sheets, 2020).” </w:t>
      </w:r>
    </w:p>
    <w:p w14:paraId="7CE7E668" w14:textId="77777777" w:rsidR="006A2B51" w:rsidRPr="006A2B51" w:rsidRDefault="006A2B51" w:rsidP="006A2B51">
      <w:pPr>
        <w:rPr>
          <w:rFonts w:asciiTheme="minorHAnsi" w:hAnsiTheme="minorHAnsi" w:cstheme="minorHAnsi"/>
          <w:color w:val="FF0000"/>
          <w:sz w:val="22"/>
          <w:szCs w:val="22"/>
        </w:rPr>
      </w:pPr>
    </w:p>
    <w:p w14:paraId="677F1A77" w14:textId="0D5A9844" w:rsidR="006A2B51" w:rsidRPr="006A2B51" w:rsidRDefault="006A2B51" w:rsidP="006A2B51">
      <w:pPr>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2 (bottom of page </w:t>
      </w:r>
      <w:r w:rsidR="003B22C5">
        <w:rPr>
          <w:rFonts w:asciiTheme="minorHAnsi" w:hAnsiTheme="minorHAnsi" w:cstheme="minorHAnsi"/>
          <w:color w:val="FF0000"/>
          <w:sz w:val="22"/>
          <w:szCs w:val="22"/>
        </w:rPr>
        <w:t>21</w:t>
      </w:r>
      <w:r w:rsidRPr="006A2B51">
        <w:rPr>
          <w:rFonts w:asciiTheme="minorHAnsi" w:hAnsiTheme="minorHAnsi" w:cstheme="minorHAnsi"/>
          <w:color w:val="FF0000"/>
          <w:sz w:val="22"/>
          <w:szCs w:val="22"/>
        </w:rPr>
        <w:t xml:space="preserve">): “These experiences enable students to enhance their capacity to adapt and build resilience resources through the development of valuable career skills such as the ability to problem-solve, build confidence, and develop a feeling of control over their careers (Duffy, 2010). Given the benefits of experiential learning on mental health and on strengthening the association between resilience and college wellbeing, opportunities to foster such experiences should be prioritized.” </w:t>
      </w:r>
    </w:p>
    <w:p w14:paraId="12273CA5" w14:textId="77777777" w:rsidR="006A2B51" w:rsidRPr="006A2B51" w:rsidRDefault="006A2B51" w:rsidP="006A2B51">
      <w:pPr>
        <w:rPr>
          <w:rFonts w:asciiTheme="minorHAnsi" w:hAnsiTheme="minorHAnsi" w:cstheme="minorHAnsi"/>
          <w:color w:val="000000"/>
          <w:sz w:val="22"/>
          <w:szCs w:val="22"/>
        </w:rPr>
      </w:pPr>
    </w:p>
    <w:p w14:paraId="064E519F" w14:textId="7F316D42"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 xml:space="preserve">Further, I think the authors need to do much more to contend with the cross-sectional nature of the data and lack of other control variables. It is not enough to mention these in one short sentence in the </w:t>
      </w:r>
      <w:proofErr w:type="gramStart"/>
      <w:r w:rsidRPr="006A2B51">
        <w:rPr>
          <w:rFonts w:asciiTheme="minorHAnsi" w:hAnsiTheme="minorHAnsi" w:cstheme="minorHAnsi"/>
          <w:color w:val="000000"/>
          <w:sz w:val="22"/>
          <w:szCs w:val="22"/>
        </w:rPr>
        <w:t>limitations</w:t>
      </w:r>
      <w:proofErr w:type="gramEnd"/>
      <w:r w:rsidRPr="006A2B51">
        <w:rPr>
          <w:rFonts w:asciiTheme="minorHAnsi" w:hAnsiTheme="minorHAnsi" w:cstheme="minorHAnsi"/>
          <w:color w:val="000000"/>
          <w:sz w:val="22"/>
          <w:szCs w:val="22"/>
        </w:rPr>
        <w:t xml:space="preserve"> sections. In the main discussion, the authors need to be highlighting and positing potential confounding variables/bidirectional explanations, such as personality differences (especially extraversion), which I think could account for a lot of these findings.</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xml:space="preserve">:  We have expanded our discussion of other possible variables that could account for the study findings (page </w:t>
      </w:r>
      <w:r w:rsidR="003B22C5">
        <w:rPr>
          <w:rFonts w:asciiTheme="minorHAnsi" w:hAnsiTheme="minorHAnsi" w:cstheme="minorHAnsi"/>
          <w:color w:val="FF0000"/>
          <w:sz w:val="22"/>
          <w:szCs w:val="22"/>
        </w:rPr>
        <w:t>22</w:t>
      </w:r>
      <w:r w:rsidRPr="006A2B51">
        <w:rPr>
          <w:rFonts w:asciiTheme="minorHAnsi" w:hAnsiTheme="minorHAnsi" w:cstheme="minorHAnsi"/>
          <w:color w:val="FF0000"/>
          <w:sz w:val="22"/>
          <w:szCs w:val="22"/>
        </w:rPr>
        <w:t xml:space="preserve">). The comment about extraversion was most helpful. We have added two references, </w:t>
      </w:r>
      <w:r w:rsidRPr="006A2B51">
        <w:rPr>
          <w:rFonts w:asciiTheme="minorHAnsi" w:hAnsiTheme="minorHAnsi" w:cstheme="minorHAnsi"/>
          <w:color w:val="FF0000"/>
          <w:sz w:val="22"/>
          <w:szCs w:val="22"/>
          <w:lang w:val="en-GB"/>
        </w:rPr>
        <w:t xml:space="preserve">Campbell-Sills et al., 2006 and Shen et al., 2021 </w:t>
      </w:r>
      <w:r w:rsidRPr="006A2B51">
        <w:rPr>
          <w:rFonts w:asciiTheme="minorHAnsi" w:hAnsiTheme="minorHAnsi" w:cstheme="minorHAnsi"/>
          <w:color w:val="FF0000"/>
          <w:sz w:val="22"/>
          <w:szCs w:val="22"/>
        </w:rPr>
        <w:t xml:space="preserve">that demonstrated a positive association between extraversion and resilience (page </w:t>
      </w:r>
      <w:r w:rsidR="003B22C5">
        <w:rPr>
          <w:rFonts w:asciiTheme="minorHAnsi" w:hAnsiTheme="minorHAnsi" w:cstheme="minorHAnsi"/>
          <w:color w:val="FF0000"/>
          <w:sz w:val="22"/>
          <w:szCs w:val="22"/>
        </w:rPr>
        <w:t>22</w:t>
      </w:r>
      <w:r w:rsidRPr="006A2B51">
        <w:rPr>
          <w:rFonts w:asciiTheme="minorHAnsi" w:hAnsiTheme="minorHAnsi" w:cstheme="minorHAnsi"/>
          <w:color w:val="FF0000"/>
          <w:sz w:val="22"/>
          <w:szCs w:val="22"/>
        </w:rPr>
        <w:t>).</w:t>
      </w:r>
    </w:p>
    <w:p w14:paraId="059E05C6" w14:textId="77777777" w:rsidR="006A2B51" w:rsidRPr="006A2B51" w:rsidRDefault="006A2B51" w:rsidP="006A2B51">
      <w:pPr>
        <w:rPr>
          <w:rFonts w:asciiTheme="minorHAnsi" w:hAnsiTheme="minorHAnsi" w:cstheme="minorHAnsi"/>
          <w:color w:val="000000"/>
          <w:sz w:val="22"/>
          <w:szCs w:val="22"/>
        </w:rPr>
      </w:pPr>
    </w:p>
    <w:p w14:paraId="1A503B93" w14:textId="5AAC2ECB"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b/>
          <w:bCs/>
          <w:color w:val="000000"/>
          <w:sz w:val="22"/>
          <w:szCs w:val="22"/>
        </w:rPr>
        <w:t>Reviewer 2:</w:t>
      </w:r>
      <w:r w:rsidRPr="006A2B51">
        <w:rPr>
          <w:rFonts w:asciiTheme="minorHAnsi" w:hAnsiTheme="minorHAnsi" w:cstheme="minorHAnsi"/>
          <w:b/>
          <w:bCs/>
          <w:color w:val="000000"/>
          <w:sz w:val="22"/>
          <w:szCs w:val="22"/>
        </w:rPr>
        <w:br/>
      </w:r>
      <w:r w:rsidRPr="006A2B51">
        <w:rPr>
          <w:rFonts w:asciiTheme="minorHAnsi" w:hAnsiTheme="minorHAnsi" w:cstheme="minorHAnsi"/>
          <w:color w:val="000000"/>
          <w:sz w:val="22"/>
          <w:szCs w:val="22"/>
        </w:rPr>
        <w:t xml:space="preserve">The introduction is well-written and summarizes current research to establish the relation between poor mental health and resilience and the advantage of institutional support. While they have highlighted the gap in current research about the positive college experience and disparity in mental illness for minority </w:t>
      </w:r>
      <w:proofErr w:type="gramStart"/>
      <w:r w:rsidRPr="006A2B51">
        <w:rPr>
          <w:rFonts w:asciiTheme="minorHAnsi" w:hAnsiTheme="minorHAnsi" w:cstheme="minorHAnsi"/>
          <w:color w:val="000000"/>
          <w:sz w:val="22"/>
          <w:szCs w:val="22"/>
        </w:rPr>
        <w:t>students</w:t>
      </w:r>
      <w:proofErr w:type="gramEnd"/>
      <w:r w:rsidRPr="006A2B51">
        <w:rPr>
          <w:rFonts w:asciiTheme="minorHAnsi" w:hAnsiTheme="minorHAnsi" w:cstheme="minorHAnsi"/>
          <w:color w:val="000000"/>
          <w:sz w:val="22"/>
          <w:szCs w:val="22"/>
        </w:rPr>
        <w:t xml:space="preserve"> author, needs to elaborate on the utilization of campus resources by this group. Authors have mentioned that students face difficulties accessing these resources and name some programs aiding these students. Additional information on why these barriers </w:t>
      </w:r>
      <w:proofErr w:type="gramStart"/>
      <w:r w:rsidRPr="006A2B51">
        <w:rPr>
          <w:rFonts w:asciiTheme="minorHAnsi" w:hAnsiTheme="minorHAnsi" w:cstheme="minorHAnsi"/>
          <w:color w:val="000000"/>
          <w:sz w:val="22"/>
          <w:szCs w:val="22"/>
        </w:rPr>
        <w:t>exist</w:t>
      </w:r>
      <w:proofErr w:type="gramEnd"/>
      <w:r w:rsidRPr="006A2B51">
        <w:rPr>
          <w:rFonts w:asciiTheme="minorHAnsi" w:hAnsiTheme="minorHAnsi" w:cstheme="minorHAnsi"/>
          <w:color w:val="000000"/>
          <w:sz w:val="22"/>
          <w:szCs w:val="22"/>
        </w:rPr>
        <w:t xml:space="preserve"> and how existing programs are helping to increase utilization will underscore the public health importance of understanding the role of campus resources in improving the mental health of these vulnerable college students.</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xml:space="preserve">:  Information about the lower utilization of campus resources by underrepresented students can be found on page </w:t>
      </w:r>
      <w:r w:rsidR="003B22C5">
        <w:rPr>
          <w:rFonts w:asciiTheme="minorHAnsi" w:hAnsiTheme="minorHAnsi" w:cstheme="minorHAnsi"/>
          <w:color w:val="FF0000"/>
          <w:sz w:val="22"/>
          <w:szCs w:val="22"/>
        </w:rPr>
        <w:t>9</w:t>
      </w:r>
      <w:r w:rsidRPr="006A2B51">
        <w:rPr>
          <w:rFonts w:asciiTheme="minorHAnsi" w:hAnsiTheme="minorHAnsi" w:cstheme="minorHAnsi"/>
          <w:color w:val="FF0000"/>
          <w:sz w:val="22"/>
          <w:szCs w:val="22"/>
        </w:rPr>
        <w:t xml:space="preserve"> (2</w:t>
      </w:r>
      <w:r w:rsidRPr="006A2B51">
        <w:rPr>
          <w:rFonts w:asciiTheme="minorHAnsi" w:hAnsiTheme="minorHAnsi" w:cstheme="minorHAnsi"/>
          <w:color w:val="FF0000"/>
          <w:sz w:val="22"/>
          <w:szCs w:val="22"/>
          <w:vertAlign w:val="superscript"/>
        </w:rPr>
        <w:t>nd</w:t>
      </w:r>
      <w:r w:rsidRPr="006A2B51">
        <w:rPr>
          <w:rFonts w:asciiTheme="minorHAnsi" w:hAnsiTheme="minorHAnsi" w:cstheme="minorHAnsi"/>
          <w:color w:val="FF0000"/>
          <w:sz w:val="22"/>
          <w:szCs w:val="22"/>
        </w:rPr>
        <w:t xml:space="preserve"> paragraph). We have provided additional information regarding the lower utilization of resources and why barriers to utilization exists; see discussion of the stereotype inoculation model on pages </w:t>
      </w:r>
      <w:r w:rsidR="003B22C5">
        <w:rPr>
          <w:rFonts w:asciiTheme="minorHAnsi" w:hAnsiTheme="minorHAnsi" w:cstheme="minorHAnsi"/>
          <w:color w:val="FF0000"/>
          <w:sz w:val="22"/>
          <w:szCs w:val="22"/>
        </w:rPr>
        <w:t>12</w:t>
      </w:r>
      <w:r w:rsidRPr="006A2B51">
        <w:rPr>
          <w:rFonts w:asciiTheme="minorHAnsi" w:hAnsiTheme="minorHAnsi" w:cstheme="minorHAnsi"/>
          <w:color w:val="FF0000"/>
          <w:sz w:val="22"/>
          <w:szCs w:val="22"/>
        </w:rPr>
        <w:t xml:space="preserve"> and </w:t>
      </w:r>
      <w:r w:rsidR="003B22C5">
        <w:rPr>
          <w:rFonts w:asciiTheme="minorHAnsi" w:hAnsiTheme="minorHAnsi" w:cstheme="minorHAnsi"/>
          <w:color w:val="FF0000"/>
          <w:sz w:val="22"/>
          <w:szCs w:val="22"/>
        </w:rPr>
        <w:t>13</w:t>
      </w:r>
      <w:r w:rsidRPr="006A2B51">
        <w:rPr>
          <w:rFonts w:asciiTheme="minorHAnsi" w:hAnsiTheme="minorHAnsi" w:cstheme="minorHAnsi"/>
          <w:color w:val="FF0000"/>
          <w:sz w:val="22"/>
          <w:szCs w:val="22"/>
        </w:rPr>
        <w:t xml:space="preserve"> (</w:t>
      </w:r>
      <w:proofErr w:type="spellStart"/>
      <w:r w:rsidRPr="006A2B51">
        <w:rPr>
          <w:rFonts w:asciiTheme="minorHAnsi" w:hAnsiTheme="minorHAnsi" w:cstheme="minorHAnsi"/>
          <w:color w:val="FF0000"/>
          <w:sz w:val="22"/>
          <w:szCs w:val="22"/>
        </w:rPr>
        <w:t>Thiem</w:t>
      </w:r>
      <w:proofErr w:type="spellEnd"/>
      <w:r w:rsidRPr="006A2B51">
        <w:rPr>
          <w:rFonts w:asciiTheme="minorHAnsi" w:hAnsiTheme="minorHAnsi" w:cstheme="minorHAnsi"/>
          <w:color w:val="FF0000"/>
          <w:sz w:val="22"/>
          <w:szCs w:val="22"/>
        </w:rPr>
        <w:t xml:space="preserve"> &amp; Dasgupta, 2022).</w:t>
      </w:r>
    </w:p>
    <w:p w14:paraId="130A2430" w14:textId="77777777" w:rsidR="006A2B51" w:rsidRPr="006A2B51" w:rsidRDefault="006A2B51" w:rsidP="006A2B51">
      <w:pPr>
        <w:rPr>
          <w:rFonts w:asciiTheme="minorHAnsi" w:hAnsiTheme="minorHAnsi" w:cstheme="minorHAnsi"/>
          <w:color w:val="FF0000"/>
          <w:sz w:val="22"/>
          <w:szCs w:val="22"/>
        </w:rPr>
      </w:pPr>
    </w:p>
    <w:p w14:paraId="071AF83E" w14:textId="5011E834" w:rsidR="006A2B51" w:rsidRPr="006A2B51" w:rsidRDefault="006A2B51" w:rsidP="006A2B51">
      <w:pPr>
        <w:rPr>
          <w:rFonts w:asciiTheme="minorHAnsi" w:hAnsiTheme="minorHAnsi" w:cstheme="minorHAnsi"/>
          <w:color w:val="FF0000"/>
          <w:sz w:val="22"/>
          <w:szCs w:val="22"/>
          <w:lang w:val="en-GB"/>
        </w:rPr>
      </w:pPr>
      <w:r w:rsidRPr="006A2B51">
        <w:rPr>
          <w:rFonts w:asciiTheme="minorHAnsi" w:hAnsiTheme="minorHAnsi" w:cstheme="minorHAnsi"/>
          <w:color w:val="000000"/>
          <w:sz w:val="22"/>
          <w:szCs w:val="22"/>
        </w:rPr>
        <w:t>The authors have sufficiently described the data collection process and their sample. However, they recruited a diverse range of students representing different racial/ethnic minority groups, levels of education, and first-generation students. Although they are examining the mental health of underrepresented student groups, they have left out sexual minorities. It is well established that LQBTQ+ college students are disproportionately affected by mental health issues throughout their student life, and authors need to provide sufficient explanation for the exclusion of this population. Additionally, justification for sample size calculation is also required. Providing personalized feedback based on the survey results to the participants was a unique approach, and this should be highlighted more to inspire future studies to adopt such practices.</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xml:space="preserve">:  We agree that sexual minorities are disproportionately affected by poor mental health outcomes; however, we did not collect information on sexual minority status. We added this omission as an important limitation of our study and added the recommendation that future research using college populations inquire regarding sexual minority status (page </w:t>
      </w:r>
      <w:r w:rsidR="003B22C5">
        <w:rPr>
          <w:rFonts w:asciiTheme="minorHAnsi" w:hAnsiTheme="minorHAnsi" w:cstheme="minorHAnsi"/>
          <w:color w:val="FF0000"/>
          <w:sz w:val="22"/>
          <w:szCs w:val="22"/>
        </w:rPr>
        <w:t>23</w:t>
      </w:r>
      <w:r w:rsidRPr="006A2B51">
        <w:rPr>
          <w:rFonts w:asciiTheme="minorHAnsi" w:hAnsiTheme="minorHAnsi" w:cstheme="minorHAnsi"/>
          <w:color w:val="FF0000"/>
          <w:sz w:val="22"/>
          <w:szCs w:val="22"/>
        </w:rPr>
        <w:t xml:space="preserve">): </w:t>
      </w:r>
    </w:p>
    <w:p w14:paraId="30B21BD8" w14:textId="77777777" w:rsidR="006A2B51" w:rsidRPr="006A2B51" w:rsidRDefault="006A2B51" w:rsidP="006A2B51">
      <w:pPr>
        <w:ind w:left="540" w:hanging="540"/>
        <w:rPr>
          <w:rFonts w:asciiTheme="minorHAnsi" w:hAnsiTheme="minorHAnsi" w:cstheme="minorHAnsi"/>
          <w:color w:val="FF0000"/>
          <w:sz w:val="22"/>
          <w:szCs w:val="22"/>
          <w:shd w:val="clear" w:color="auto" w:fill="FFFFFF"/>
        </w:rPr>
      </w:pPr>
      <w:r w:rsidRPr="006A2B51">
        <w:rPr>
          <w:rFonts w:asciiTheme="minorHAnsi" w:hAnsiTheme="minorHAnsi" w:cstheme="minorHAnsi"/>
          <w:color w:val="FF0000"/>
          <w:sz w:val="22"/>
          <w:szCs w:val="22"/>
          <w:lang w:val="en-GB"/>
        </w:rPr>
        <w:tab/>
      </w:r>
      <w:r w:rsidRPr="006A2B51">
        <w:rPr>
          <w:rFonts w:asciiTheme="minorHAnsi" w:hAnsiTheme="minorHAnsi" w:cstheme="minorHAnsi"/>
          <w:color w:val="FF0000"/>
          <w:sz w:val="22"/>
          <w:szCs w:val="22"/>
        </w:rPr>
        <w:t>“Third, we failed to ask about sexual minority status among our sample of underrepresented students. Given that sexual minority college students are disproportionally affected by poor mental health outcomes, it is critical that future studies inquire about sexual minority status when focused on mental health in the college population. We did, however, provide information about the Gender and Sexuality Center (GSC) on campus in students’ confidential personal feedback profile. The GSC provides opportunities for all students to explore issues of gender and sexuality and promotes learning around issues of gender and sexuality.”</w:t>
      </w:r>
    </w:p>
    <w:p w14:paraId="3BE30596" w14:textId="77777777" w:rsidR="006A2B51" w:rsidRPr="006A2B51" w:rsidRDefault="006A2B51" w:rsidP="006A2B51">
      <w:pPr>
        <w:rPr>
          <w:rFonts w:asciiTheme="minorHAnsi" w:hAnsiTheme="minorHAnsi" w:cstheme="minorHAnsi"/>
          <w:color w:val="000000"/>
          <w:sz w:val="22"/>
          <w:szCs w:val="22"/>
        </w:rPr>
      </w:pPr>
    </w:p>
    <w:p w14:paraId="0F5A1659" w14:textId="73B2D44E"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FF0000"/>
          <w:sz w:val="22"/>
          <w:szCs w:val="22"/>
        </w:rPr>
        <w:t>We provided information for the sample size calculation using G*Power (</w:t>
      </w:r>
      <w:proofErr w:type="spellStart"/>
      <w:r w:rsidRPr="006A2B51">
        <w:rPr>
          <w:rFonts w:asciiTheme="minorHAnsi" w:hAnsiTheme="minorHAnsi" w:cstheme="minorHAnsi"/>
          <w:color w:val="FF0000"/>
          <w:sz w:val="22"/>
          <w:szCs w:val="22"/>
        </w:rPr>
        <w:t>Faul</w:t>
      </w:r>
      <w:proofErr w:type="spellEnd"/>
      <w:r w:rsidRPr="006A2B51">
        <w:rPr>
          <w:rFonts w:asciiTheme="minorHAnsi" w:hAnsiTheme="minorHAnsi" w:cstheme="minorHAnsi"/>
          <w:color w:val="FF0000"/>
          <w:sz w:val="22"/>
          <w:szCs w:val="22"/>
        </w:rPr>
        <w:t xml:space="preserve"> et al., 2007) under Sample and Procedures in the Methods section of the manuscript (page </w:t>
      </w:r>
      <w:r w:rsidR="003B22C5">
        <w:rPr>
          <w:rFonts w:asciiTheme="minorHAnsi" w:hAnsiTheme="minorHAnsi" w:cstheme="minorHAnsi"/>
          <w:color w:val="FF0000"/>
          <w:sz w:val="22"/>
          <w:szCs w:val="22"/>
        </w:rPr>
        <w:t>14</w:t>
      </w:r>
      <w:r w:rsidRPr="006A2B51">
        <w:rPr>
          <w:rFonts w:asciiTheme="minorHAnsi" w:hAnsiTheme="minorHAnsi" w:cstheme="minorHAnsi"/>
          <w:color w:val="FF0000"/>
          <w:sz w:val="22"/>
          <w:szCs w:val="22"/>
        </w:rPr>
        <w:t>): “Using a G*Power analysis with an estimated effect size of .02, alpha of .05, and 80% power, the minimum sample size needed was 395 participants (</w:t>
      </w:r>
      <w:proofErr w:type="spellStart"/>
      <w:r w:rsidRPr="006A2B51">
        <w:rPr>
          <w:rFonts w:asciiTheme="minorHAnsi" w:hAnsiTheme="minorHAnsi" w:cstheme="minorHAnsi"/>
          <w:color w:val="FF0000"/>
          <w:sz w:val="22"/>
          <w:szCs w:val="22"/>
        </w:rPr>
        <w:t>Faul</w:t>
      </w:r>
      <w:proofErr w:type="spellEnd"/>
      <w:r w:rsidRPr="006A2B51">
        <w:rPr>
          <w:rFonts w:asciiTheme="minorHAnsi" w:hAnsiTheme="minorHAnsi" w:cstheme="minorHAnsi"/>
          <w:color w:val="FF0000"/>
          <w:sz w:val="22"/>
          <w:szCs w:val="22"/>
        </w:rPr>
        <w:t xml:space="preserve"> et al., 2007). Thus, the study sample size of </w:t>
      </w:r>
      <w:r w:rsidRPr="006A2B51">
        <w:rPr>
          <w:rFonts w:asciiTheme="minorHAnsi" w:hAnsiTheme="minorHAnsi" w:cstheme="minorHAnsi"/>
          <w:i/>
          <w:iCs/>
          <w:color w:val="FF0000"/>
          <w:sz w:val="22"/>
          <w:szCs w:val="22"/>
        </w:rPr>
        <w:t>N</w:t>
      </w:r>
      <w:r w:rsidRPr="006A2B51">
        <w:rPr>
          <w:rFonts w:asciiTheme="minorHAnsi" w:hAnsiTheme="minorHAnsi" w:cstheme="minorHAnsi"/>
          <w:color w:val="FF0000"/>
          <w:sz w:val="22"/>
          <w:szCs w:val="22"/>
        </w:rPr>
        <w:t xml:space="preserve"> = 430 was sufficient to test the study hypothesis.”</w:t>
      </w:r>
    </w:p>
    <w:p w14:paraId="0E18196B" w14:textId="77777777" w:rsidR="006A2B51" w:rsidRPr="006A2B51" w:rsidRDefault="006A2B51" w:rsidP="006A2B51">
      <w:pPr>
        <w:rPr>
          <w:rFonts w:asciiTheme="minorHAnsi" w:hAnsiTheme="minorHAnsi" w:cstheme="minorHAnsi"/>
          <w:color w:val="000000"/>
          <w:sz w:val="22"/>
          <w:szCs w:val="22"/>
        </w:rPr>
      </w:pPr>
    </w:p>
    <w:p w14:paraId="4D93E37B" w14:textId="1B9FB216"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FF0000"/>
          <w:sz w:val="22"/>
          <w:szCs w:val="22"/>
        </w:rPr>
        <w:t xml:space="preserve">We have expanded our description and rationale for providing a personal feedback profile to each study participant (page </w:t>
      </w:r>
      <w:r w:rsidR="003B22C5">
        <w:rPr>
          <w:rFonts w:asciiTheme="minorHAnsi" w:hAnsiTheme="minorHAnsi" w:cstheme="minorHAnsi"/>
          <w:color w:val="FF0000"/>
          <w:sz w:val="22"/>
          <w:szCs w:val="22"/>
        </w:rPr>
        <w:t>14</w:t>
      </w:r>
      <w:r w:rsidRPr="006A2B51">
        <w:rPr>
          <w:rFonts w:asciiTheme="minorHAnsi" w:hAnsiTheme="minorHAnsi" w:cstheme="minorHAnsi"/>
          <w:color w:val="FF0000"/>
          <w:sz w:val="22"/>
          <w:szCs w:val="22"/>
        </w:rPr>
        <w:t>):</w:t>
      </w:r>
    </w:p>
    <w:p w14:paraId="3D8AB5B5" w14:textId="77777777" w:rsidR="006A2B51" w:rsidRPr="006A2B51" w:rsidRDefault="006A2B51" w:rsidP="006A2B51">
      <w:pPr>
        <w:ind w:left="540" w:hanging="180"/>
        <w:rPr>
          <w:rFonts w:asciiTheme="minorHAnsi" w:hAnsiTheme="minorHAnsi" w:cstheme="minorHAnsi"/>
          <w:color w:val="FF0000"/>
          <w:sz w:val="22"/>
          <w:szCs w:val="22"/>
        </w:rPr>
      </w:pPr>
      <w:r w:rsidRPr="006A2B51">
        <w:rPr>
          <w:rFonts w:asciiTheme="minorHAnsi" w:hAnsiTheme="minorHAnsi" w:cstheme="minorHAnsi"/>
          <w:sz w:val="22"/>
          <w:szCs w:val="22"/>
        </w:rPr>
        <w:t xml:space="preserve"> </w:t>
      </w:r>
      <w:r w:rsidRPr="006A2B51">
        <w:rPr>
          <w:rFonts w:asciiTheme="minorHAnsi" w:hAnsiTheme="minorHAnsi" w:cstheme="minorHAnsi"/>
          <w:color w:val="FF0000"/>
          <w:sz w:val="22"/>
          <w:szCs w:val="22"/>
        </w:rPr>
        <w:t>“Each student subsequently received a confidential personal feedback profile that included their individual survey scores, along with the possible range of scores for each variable, the average score on each variable for all students completing the survey, educational information about each variable, and a list of campus academic, financial, health and wellness, and safety resources to support their mental health. The personal feedback profile provided an educational opportunity and expressed our appreciation to students for their participation. Research team members were available to discuss students’ personal feedback profile and answer any questions upon request.”</w:t>
      </w:r>
    </w:p>
    <w:p w14:paraId="0D69BA4C" w14:textId="77777777" w:rsidR="006A2B51" w:rsidRPr="006A2B51" w:rsidRDefault="006A2B51" w:rsidP="006A2B51">
      <w:pPr>
        <w:rPr>
          <w:rFonts w:asciiTheme="minorHAnsi" w:hAnsiTheme="minorHAnsi" w:cstheme="minorHAnsi"/>
          <w:color w:val="FF0000"/>
          <w:sz w:val="22"/>
          <w:szCs w:val="22"/>
        </w:rPr>
      </w:pPr>
    </w:p>
    <w:p w14:paraId="2C1CAB69" w14:textId="6FAFE47A"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000000"/>
          <w:sz w:val="22"/>
          <w:szCs w:val="22"/>
        </w:rPr>
        <w:t>This study utilized three previously validated measures to collect data on three significant domains anxiety, resilience, and campus experience. Although Gallup's six scales were adapted for college experience, the GAD and BRS scales were not. Authors need to provide more details about the use of these scales for college students, how appropriate these are if these are commonly used by other studies etc.</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We provided statements of support for the use of the GAD and BRS scales with college students under Measures in the Methods section of the manuscript (page 1</w:t>
      </w:r>
      <w:r w:rsidR="008543E5">
        <w:rPr>
          <w:rFonts w:asciiTheme="minorHAnsi" w:hAnsiTheme="minorHAnsi" w:cstheme="minorHAnsi"/>
          <w:color w:val="FF0000"/>
          <w:sz w:val="22"/>
          <w:szCs w:val="22"/>
        </w:rPr>
        <w:t>5</w:t>
      </w:r>
      <w:r w:rsidRPr="006A2B51">
        <w:rPr>
          <w:rFonts w:asciiTheme="minorHAnsi" w:hAnsiTheme="minorHAnsi" w:cstheme="minorHAnsi"/>
          <w:color w:val="FF0000"/>
          <w:sz w:val="22"/>
          <w:szCs w:val="22"/>
        </w:rPr>
        <w:t>). We also included the internal consistency reliability for each scale in the current study.</w:t>
      </w:r>
    </w:p>
    <w:p w14:paraId="62E89EA7" w14:textId="77777777" w:rsidR="006A2B51" w:rsidRPr="006A2B51" w:rsidRDefault="006A2B51" w:rsidP="006A2B51">
      <w:pPr>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t>GAD: “The scale has demonstrated excellent internal consistency (</w:t>
      </w:r>
      <w:r w:rsidRPr="006A2B51">
        <w:rPr>
          <w:rFonts w:asciiTheme="minorHAnsi" w:hAnsiTheme="minorHAnsi" w:cstheme="minorHAnsi"/>
          <w:i/>
          <w:iCs/>
          <w:color w:val="FF0000"/>
          <w:sz w:val="22"/>
          <w:szCs w:val="22"/>
        </w:rPr>
        <w:t>α</w:t>
      </w:r>
      <w:r w:rsidRPr="006A2B51">
        <w:rPr>
          <w:rFonts w:asciiTheme="minorHAnsi" w:hAnsiTheme="minorHAnsi" w:cstheme="minorHAnsi"/>
          <w:color w:val="FF0000"/>
          <w:sz w:val="22"/>
          <w:szCs w:val="22"/>
        </w:rPr>
        <w:t xml:space="preserve"> = .91) and mostly excellent internal and external validity among college undergraduate students (</w:t>
      </w:r>
      <w:proofErr w:type="spellStart"/>
      <w:r w:rsidRPr="006A2B51">
        <w:rPr>
          <w:rFonts w:asciiTheme="minorHAnsi" w:hAnsiTheme="minorHAnsi" w:cstheme="minorHAnsi"/>
          <w:color w:val="FF0000"/>
          <w:sz w:val="22"/>
          <w:szCs w:val="22"/>
        </w:rPr>
        <w:t>Sriken</w:t>
      </w:r>
      <w:proofErr w:type="spellEnd"/>
      <w:r w:rsidRPr="006A2B51">
        <w:rPr>
          <w:rFonts w:asciiTheme="minorHAnsi" w:hAnsiTheme="minorHAnsi" w:cstheme="minorHAnsi"/>
          <w:color w:val="FF0000"/>
          <w:sz w:val="22"/>
          <w:szCs w:val="22"/>
        </w:rPr>
        <w:t xml:space="preserve"> et al., 2022).”</w:t>
      </w:r>
    </w:p>
    <w:p w14:paraId="111B5FC3" w14:textId="77777777" w:rsidR="006A2B51" w:rsidRPr="006A2B51" w:rsidRDefault="006A2B51" w:rsidP="006A2B51">
      <w:pPr>
        <w:ind w:left="540"/>
        <w:rPr>
          <w:rFonts w:asciiTheme="minorHAnsi" w:hAnsiTheme="minorHAnsi" w:cstheme="minorHAnsi"/>
          <w:color w:val="FF0000"/>
          <w:sz w:val="22"/>
          <w:szCs w:val="22"/>
        </w:rPr>
      </w:pPr>
      <w:r w:rsidRPr="006A2B51">
        <w:rPr>
          <w:rFonts w:asciiTheme="minorHAnsi" w:hAnsiTheme="minorHAnsi" w:cstheme="minorHAnsi"/>
          <w:color w:val="FF0000"/>
          <w:sz w:val="22"/>
          <w:szCs w:val="22"/>
        </w:rPr>
        <w:lastRenderedPageBreak/>
        <w:t>BRS: “The BRS was designed for use with undergraduate students (Smith et al., 2008) and has continued to demonstrate sound psychometric properties in this population (Julian et al., 2022).”</w:t>
      </w:r>
    </w:p>
    <w:p w14:paraId="62356F50" w14:textId="77777777" w:rsidR="006A2B51" w:rsidRPr="006A2B51" w:rsidRDefault="006A2B51" w:rsidP="006A2B51">
      <w:pPr>
        <w:rPr>
          <w:rFonts w:asciiTheme="minorHAnsi" w:hAnsiTheme="minorHAnsi" w:cstheme="minorHAnsi"/>
          <w:color w:val="000000"/>
          <w:sz w:val="22"/>
          <w:szCs w:val="22"/>
        </w:rPr>
      </w:pPr>
    </w:p>
    <w:p w14:paraId="36FC4819" w14:textId="535FE9E3"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000000"/>
          <w:sz w:val="22"/>
          <w:szCs w:val="22"/>
        </w:rPr>
        <w:t xml:space="preserve">The authors mentioned the current study was part of a larger investigation at the institution but failed to include information about the IRB approval for this </w:t>
      </w:r>
      <w:proofErr w:type="gramStart"/>
      <w:r w:rsidRPr="006A2B51">
        <w:rPr>
          <w:rFonts w:asciiTheme="minorHAnsi" w:hAnsiTheme="minorHAnsi" w:cstheme="minorHAnsi"/>
          <w:color w:val="000000"/>
          <w:sz w:val="22"/>
          <w:szCs w:val="22"/>
        </w:rPr>
        <w:t>particular study</w:t>
      </w:r>
      <w:proofErr w:type="gramEnd"/>
      <w:r w:rsidRPr="006A2B51">
        <w:rPr>
          <w:rFonts w:asciiTheme="minorHAnsi" w:hAnsiTheme="minorHAnsi" w:cstheme="minorHAnsi"/>
          <w:color w:val="000000"/>
          <w:sz w:val="22"/>
          <w:szCs w:val="22"/>
        </w:rPr>
        <w:t>.</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xml:space="preserve">:  Thank you for pointing out the IRB oversight on our part. We have added the following sentence under Sample and Procedures in the Methods (page </w:t>
      </w:r>
      <w:r w:rsidR="008543E5">
        <w:rPr>
          <w:rFonts w:asciiTheme="minorHAnsi" w:hAnsiTheme="minorHAnsi" w:cstheme="minorHAnsi"/>
          <w:color w:val="FF0000"/>
          <w:sz w:val="22"/>
          <w:szCs w:val="22"/>
        </w:rPr>
        <w:t>14</w:t>
      </w:r>
      <w:r w:rsidRPr="006A2B51">
        <w:rPr>
          <w:rFonts w:asciiTheme="minorHAnsi" w:hAnsiTheme="minorHAnsi" w:cstheme="minorHAnsi"/>
          <w:color w:val="FF0000"/>
          <w:sz w:val="22"/>
          <w:szCs w:val="22"/>
        </w:rPr>
        <w:t>): “All procedures were approved by the Institutional Review Board of The University of Texas at Austin.”</w:t>
      </w:r>
    </w:p>
    <w:p w14:paraId="0766C07A"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br/>
        <w:t>They have provided adequate information about the statistical analysis and the results based on their data. The result and discussion sections are coherent, and the conclusion reflects the primary research objective.</w:t>
      </w:r>
      <w:r w:rsidRPr="006A2B51">
        <w:rPr>
          <w:rStyle w:val="apple-converted-space"/>
          <w:rFonts w:asciiTheme="minorHAnsi" w:hAnsiTheme="minorHAnsi" w:cstheme="minorHAnsi"/>
          <w:color w:val="000000"/>
          <w:sz w:val="22"/>
          <w:szCs w:val="22"/>
        </w:rPr>
        <w:t> </w:t>
      </w:r>
      <w:r w:rsidRPr="006A2B51">
        <w:rPr>
          <w:rFonts w:asciiTheme="minorHAnsi" w:hAnsiTheme="minorHAnsi" w:cstheme="minorHAnsi"/>
          <w:color w:val="000000"/>
          <w:sz w:val="22"/>
          <w:szCs w:val="22"/>
        </w:rPr>
        <w:br/>
      </w: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Thank you for acknowledging these attributes of our manuscript.</w:t>
      </w:r>
    </w:p>
    <w:p w14:paraId="0BF2B030" w14:textId="77777777" w:rsidR="006A2B51" w:rsidRPr="006A2B51" w:rsidRDefault="006A2B51" w:rsidP="006A2B51">
      <w:pPr>
        <w:rPr>
          <w:rFonts w:asciiTheme="minorHAnsi" w:hAnsiTheme="minorHAnsi" w:cstheme="minorHAnsi"/>
          <w:color w:val="000000"/>
          <w:sz w:val="22"/>
          <w:szCs w:val="22"/>
        </w:rPr>
      </w:pPr>
    </w:p>
    <w:p w14:paraId="785DC6D3" w14:textId="77777777" w:rsidR="006A2B51" w:rsidRPr="006A2B51" w:rsidRDefault="006A2B51" w:rsidP="006A2B51">
      <w:pPr>
        <w:rPr>
          <w:rFonts w:asciiTheme="minorHAnsi" w:hAnsiTheme="minorHAnsi" w:cstheme="minorHAnsi"/>
          <w:color w:val="000000"/>
          <w:sz w:val="22"/>
          <w:szCs w:val="22"/>
        </w:rPr>
      </w:pPr>
      <w:r w:rsidRPr="006A2B51">
        <w:rPr>
          <w:rFonts w:asciiTheme="minorHAnsi" w:hAnsiTheme="minorHAnsi" w:cstheme="minorHAnsi"/>
          <w:color w:val="000000"/>
          <w:sz w:val="22"/>
          <w:szCs w:val="22"/>
        </w:rPr>
        <w:t>To improve the quality of the manuscript, authors need to-</w:t>
      </w:r>
      <w:r w:rsidRPr="006A2B51">
        <w:rPr>
          <w:rFonts w:asciiTheme="minorHAnsi" w:hAnsiTheme="minorHAnsi" w:cstheme="minorHAnsi"/>
          <w:color w:val="000000"/>
          <w:sz w:val="22"/>
          <w:szCs w:val="22"/>
        </w:rPr>
        <w:br/>
        <w:t>• Elaborate on the utilization of campus resources by this group in the background</w:t>
      </w:r>
      <w:r w:rsidRPr="006A2B51">
        <w:rPr>
          <w:rFonts w:asciiTheme="minorHAnsi" w:hAnsiTheme="minorHAnsi" w:cstheme="minorHAnsi"/>
          <w:color w:val="000000"/>
          <w:sz w:val="22"/>
          <w:szCs w:val="22"/>
        </w:rPr>
        <w:br/>
        <w:t>• Provide justification for excluding sexual minorities who are also disproportionately affected by poor mental health outcomes</w:t>
      </w:r>
      <w:r w:rsidRPr="006A2B51">
        <w:rPr>
          <w:rFonts w:asciiTheme="minorHAnsi" w:hAnsiTheme="minorHAnsi" w:cstheme="minorHAnsi"/>
          <w:color w:val="000000"/>
          <w:sz w:val="22"/>
          <w:szCs w:val="22"/>
        </w:rPr>
        <w:br/>
        <w:t>• Provide justification for sample size calculation</w:t>
      </w:r>
      <w:r w:rsidRPr="006A2B51">
        <w:rPr>
          <w:rFonts w:asciiTheme="minorHAnsi" w:hAnsiTheme="minorHAnsi" w:cstheme="minorHAnsi"/>
          <w:color w:val="000000"/>
          <w:sz w:val="22"/>
          <w:szCs w:val="22"/>
        </w:rPr>
        <w:br/>
        <w:t>• Provide explanation for using GAD and BRS scales for this specific population group and mention Cronbach's alpha</w:t>
      </w:r>
      <w:r w:rsidRPr="006A2B51">
        <w:rPr>
          <w:rFonts w:asciiTheme="minorHAnsi" w:hAnsiTheme="minorHAnsi" w:cstheme="minorHAnsi"/>
          <w:color w:val="000000"/>
          <w:sz w:val="22"/>
          <w:szCs w:val="22"/>
        </w:rPr>
        <w:br/>
        <w:t>• Provide details of the IRB for the current study</w:t>
      </w:r>
    </w:p>
    <w:p w14:paraId="40A17EFE" w14:textId="77777777" w:rsidR="006A2B51" w:rsidRPr="006A2B51" w:rsidRDefault="006A2B51" w:rsidP="006A2B51">
      <w:pPr>
        <w:rPr>
          <w:rFonts w:asciiTheme="minorHAnsi" w:hAnsiTheme="minorHAnsi" w:cstheme="minorHAnsi"/>
          <w:color w:val="FF0000"/>
          <w:sz w:val="22"/>
          <w:szCs w:val="22"/>
        </w:rPr>
      </w:pPr>
      <w:r w:rsidRPr="006A2B51">
        <w:rPr>
          <w:rFonts w:asciiTheme="minorHAnsi" w:hAnsiTheme="minorHAnsi" w:cstheme="minorHAnsi"/>
          <w:color w:val="FF0000"/>
          <w:sz w:val="22"/>
          <w:szCs w:val="22"/>
          <w:u w:val="single"/>
        </w:rPr>
        <w:t>Response</w:t>
      </w:r>
      <w:r w:rsidRPr="006A2B51">
        <w:rPr>
          <w:rFonts w:asciiTheme="minorHAnsi" w:hAnsiTheme="minorHAnsi" w:cstheme="minorHAnsi"/>
          <w:color w:val="FF0000"/>
          <w:sz w:val="22"/>
          <w:szCs w:val="22"/>
        </w:rPr>
        <w:t>: We have responded to each of these recommendations as they were first presented above.</w:t>
      </w:r>
    </w:p>
    <w:p w14:paraId="0E91B74F" w14:textId="77777777" w:rsidR="006A2B51" w:rsidRPr="006A2B51" w:rsidRDefault="006A2B51" w:rsidP="006A2B51">
      <w:pPr>
        <w:rPr>
          <w:rFonts w:asciiTheme="minorHAnsi" w:hAnsiTheme="minorHAnsi" w:cstheme="minorHAnsi"/>
          <w:color w:val="000000"/>
          <w:sz w:val="22"/>
          <w:szCs w:val="22"/>
        </w:rPr>
      </w:pPr>
    </w:p>
    <w:p w14:paraId="2C2A6FDF" w14:textId="77777777" w:rsidR="006A2B51" w:rsidRPr="006A2B51" w:rsidRDefault="006A2B51" w:rsidP="003C200E">
      <w:pPr>
        <w:pStyle w:val="Authornames"/>
        <w:snapToGrid w:val="0"/>
        <w:spacing w:before="0" w:line="480" w:lineRule="auto"/>
        <w:jc w:val="center"/>
        <w:rPr>
          <w:rFonts w:asciiTheme="minorHAnsi" w:hAnsiTheme="minorHAnsi" w:cstheme="minorHAnsi"/>
          <w:b/>
          <w:sz w:val="24"/>
        </w:rPr>
      </w:pPr>
    </w:p>
    <w:p w14:paraId="265EFF8C" w14:textId="77777777" w:rsidR="006A2B51" w:rsidRDefault="006A2B51" w:rsidP="003C200E">
      <w:pPr>
        <w:pStyle w:val="Authornames"/>
        <w:snapToGrid w:val="0"/>
        <w:spacing w:before="0" w:line="480" w:lineRule="auto"/>
        <w:jc w:val="center"/>
        <w:rPr>
          <w:b/>
          <w:sz w:val="24"/>
        </w:rPr>
      </w:pPr>
    </w:p>
    <w:p w14:paraId="7C9E03E8" w14:textId="77777777" w:rsidR="006A2B51" w:rsidRDefault="006A2B51" w:rsidP="003C200E">
      <w:pPr>
        <w:pStyle w:val="Authornames"/>
        <w:snapToGrid w:val="0"/>
        <w:spacing w:before="0" w:line="480" w:lineRule="auto"/>
        <w:jc w:val="center"/>
        <w:rPr>
          <w:b/>
          <w:sz w:val="24"/>
        </w:rPr>
      </w:pPr>
    </w:p>
    <w:p w14:paraId="503AB165" w14:textId="77777777" w:rsidR="006A2B51" w:rsidRDefault="006A2B51" w:rsidP="003C200E">
      <w:pPr>
        <w:pStyle w:val="Authornames"/>
        <w:snapToGrid w:val="0"/>
        <w:spacing w:before="0" w:line="480" w:lineRule="auto"/>
        <w:jc w:val="center"/>
        <w:rPr>
          <w:b/>
          <w:sz w:val="24"/>
        </w:rPr>
      </w:pPr>
    </w:p>
    <w:p w14:paraId="006F75D0" w14:textId="77777777" w:rsidR="006A2B51" w:rsidRDefault="006A2B51" w:rsidP="003C200E">
      <w:pPr>
        <w:pStyle w:val="Authornames"/>
        <w:snapToGrid w:val="0"/>
        <w:spacing w:before="0" w:line="480" w:lineRule="auto"/>
        <w:jc w:val="center"/>
        <w:rPr>
          <w:b/>
          <w:sz w:val="24"/>
        </w:rPr>
      </w:pPr>
    </w:p>
    <w:p w14:paraId="663ED0DC" w14:textId="77777777" w:rsidR="006A2B51" w:rsidRDefault="006A2B51" w:rsidP="003C200E">
      <w:pPr>
        <w:pStyle w:val="Authornames"/>
        <w:snapToGrid w:val="0"/>
        <w:spacing w:before="0" w:line="480" w:lineRule="auto"/>
        <w:jc w:val="center"/>
        <w:rPr>
          <w:b/>
          <w:sz w:val="24"/>
        </w:rPr>
      </w:pPr>
    </w:p>
    <w:p w14:paraId="21934689" w14:textId="79D20E41" w:rsidR="006A2B51" w:rsidRDefault="006A2B51" w:rsidP="003C200E">
      <w:pPr>
        <w:pStyle w:val="Authornames"/>
        <w:snapToGrid w:val="0"/>
        <w:spacing w:before="0" w:line="480" w:lineRule="auto"/>
        <w:jc w:val="center"/>
        <w:rPr>
          <w:b/>
          <w:sz w:val="24"/>
        </w:rPr>
      </w:pPr>
    </w:p>
    <w:p w14:paraId="0A79C908" w14:textId="7D21DD4B" w:rsidR="006A2B51" w:rsidRDefault="006A2B51" w:rsidP="006A2B51">
      <w:pPr>
        <w:rPr>
          <w:lang w:val="en-GB" w:eastAsia="en-GB"/>
        </w:rPr>
      </w:pPr>
    </w:p>
    <w:p w14:paraId="17337897" w14:textId="77777777" w:rsidR="006A2B51" w:rsidRPr="006A2B51" w:rsidRDefault="006A2B51" w:rsidP="006A2B51">
      <w:pPr>
        <w:rPr>
          <w:lang w:val="en-GB" w:eastAsia="en-GB"/>
        </w:rPr>
      </w:pPr>
    </w:p>
    <w:p w14:paraId="39A7601D" w14:textId="77777777" w:rsidR="006A2B51" w:rsidRDefault="006A2B51" w:rsidP="003C200E">
      <w:pPr>
        <w:pStyle w:val="Authornames"/>
        <w:snapToGrid w:val="0"/>
        <w:spacing w:before="0" w:line="480" w:lineRule="auto"/>
        <w:jc w:val="center"/>
        <w:rPr>
          <w:b/>
          <w:sz w:val="24"/>
        </w:rPr>
      </w:pPr>
    </w:p>
    <w:p w14:paraId="755B4FAC" w14:textId="77777777" w:rsidR="006A2B51" w:rsidRDefault="006A2B51" w:rsidP="003C200E">
      <w:pPr>
        <w:pStyle w:val="Authornames"/>
        <w:snapToGrid w:val="0"/>
        <w:spacing w:before="0" w:line="480" w:lineRule="auto"/>
        <w:jc w:val="center"/>
        <w:rPr>
          <w:b/>
          <w:sz w:val="24"/>
        </w:rPr>
      </w:pPr>
    </w:p>
    <w:p w14:paraId="368B9ECB" w14:textId="77777777" w:rsidR="006A2B51" w:rsidRDefault="006A2B51" w:rsidP="003C200E">
      <w:pPr>
        <w:pStyle w:val="Authornames"/>
        <w:snapToGrid w:val="0"/>
        <w:spacing w:before="0" w:line="480" w:lineRule="auto"/>
        <w:jc w:val="center"/>
        <w:rPr>
          <w:b/>
          <w:sz w:val="24"/>
        </w:rPr>
      </w:pPr>
    </w:p>
    <w:p w14:paraId="66619C99" w14:textId="7F6F5C8C" w:rsidR="003C200E" w:rsidRDefault="003C200E" w:rsidP="003C200E">
      <w:pPr>
        <w:pStyle w:val="Authornames"/>
        <w:snapToGrid w:val="0"/>
        <w:spacing w:before="0" w:line="480" w:lineRule="auto"/>
        <w:jc w:val="center"/>
        <w:rPr>
          <w:b/>
          <w:sz w:val="24"/>
        </w:rPr>
      </w:pPr>
      <w:r>
        <w:rPr>
          <w:b/>
          <w:sz w:val="24"/>
        </w:rPr>
        <w:lastRenderedPageBreak/>
        <w:t xml:space="preserve">Positive </w:t>
      </w:r>
      <w:r w:rsidRPr="00257F7A">
        <w:rPr>
          <w:b/>
          <w:sz w:val="24"/>
        </w:rPr>
        <w:t xml:space="preserve">College Experiences </w:t>
      </w:r>
      <w:r>
        <w:rPr>
          <w:b/>
          <w:sz w:val="24"/>
        </w:rPr>
        <w:t xml:space="preserve">Moderate the </w:t>
      </w:r>
      <w:r w:rsidRPr="00257F7A">
        <w:rPr>
          <w:b/>
          <w:sz w:val="24"/>
        </w:rPr>
        <w:t xml:space="preserve">Association Between Resilience and Anxiety </w:t>
      </w:r>
      <w:r>
        <w:rPr>
          <w:b/>
          <w:sz w:val="24"/>
        </w:rPr>
        <w:t xml:space="preserve">Symptoms </w:t>
      </w:r>
      <w:r w:rsidRPr="00257F7A">
        <w:rPr>
          <w:b/>
          <w:sz w:val="24"/>
        </w:rPr>
        <w:t>among Underrepresented College Students</w:t>
      </w:r>
    </w:p>
    <w:p w14:paraId="49C19391" w14:textId="77777777" w:rsidR="003C200E" w:rsidRDefault="003C200E" w:rsidP="003C200E">
      <w:pPr>
        <w:pStyle w:val="Authornames"/>
        <w:snapToGrid w:val="0"/>
        <w:spacing w:before="0" w:line="480" w:lineRule="auto"/>
        <w:jc w:val="center"/>
        <w:rPr>
          <w:sz w:val="24"/>
        </w:rPr>
      </w:pPr>
      <w:proofErr w:type="spellStart"/>
      <w:r w:rsidRPr="00257F7A">
        <w:rPr>
          <w:sz w:val="24"/>
        </w:rPr>
        <w:t>Jihun</w:t>
      </w:r>
      <w:proofErr w:type="spellEnd"/>
      <w:r w:rsidRPr="00257F7A">
        <w:rPr>
          <w:sz w:val="24"/>
        </w:rPr>
        <w:t xml:space="preserve"> Woo</w:t>
      </w:r>
      <w:r>
        <w:rPr>
          <w:sz w:val="24"/>
        </w:rPr>
        <w:t xml:space="preserve">, </w:t>
      </w:r>
      <w:proofErr w:type="spellStart"/>
      <w:r>
        <w:rPr>
          <w:sz w:val="24"/>
        </w:rPr>
        <w:t>MS</w:t>
      </w:r>
      <w:r w:rsidRPr="00AB08D1">
        <w:rPr>
          <w:sz w:val="24"/>
          <w:vertAlign w:val="superscript"/>
        </w:rPr>
        <w:t>a</w:t>
      </w:r>
      <w:proofErr w:type="spellEnd"/>
      <w:r>
        <w:rPr>
          <w:sz w:val="24"/>
        </w:rPr>
        <w:t xml:space="preserve">, </w:t>
      </w:r>
      <w:proofErr w:type="spellStart"/>
      <w:r w:rsidRPr="00257F7A">
        <w:rPr>
          <w:sz w:val="24"/>
        </w:rPr>
        <w:t>Erum</w:t>
      </w:r>
      <w:proofErr w:type="spellEnd"/>
      <w:r w:rsidRPr="00257F7A">
        <w:rPr>
          <w:sz w:val="24"/>
        </w:rPr>
        <w:t xml:space="preserve"> Z. </w:t>
      </w:r>
      <w:proofErr w:type="spellStart"/>
      <w:r w:rsidRPr="00257F7A">
        <w:rPr>
          <w:sz w:val="24"/>
        </w:rPr>
        <w:t>Whyne</w:t>
      </w:r>
      <w:proofErr w:type="spellEnd"/>
      <w:r>
        <w:rPr>
          <w:sz w:val="24"/>
        </w:rPr>
        <w:t xml:space="preserve">, </w:t>
      </w:r>
      <w:proofErr w:type="spellStart"/>
      <w:r>
        <w:rPr>
          <w:sz w:val="24"/>
        </w:rPr>
        <w:t>PhD</w:t>
      </w:r>
      <w:r>
        <w:rPr>
          <w:sz w:val="24"/>
          <w:vertAlign w:val="superscript"/>
        </w:rPr>
        <w:t>a</w:t>
      </w:r>
      <w:proofErr w:type="spellEnd"/>
      <w:r>
        <w:rPr>
          <w:sz w:val="24"/>
        </w:rPr>
        <w:t xml:space="preserve">, </w:t>
      </w:r>
      <w:r w:rsidRPr="00257F7A">
        <w:rPr>
          <w:sz w:val="24"/>
        </w:rPr>
        <w:t>Jaylen I. Wright</w:t>
      </w:r>
      <w:r>
        <w:rPr>
          <w:sz w:val="24"/>
        </w:rPr>
        <w:t xml:space="preserve">, </w:t>
      </w:r>
      <w:proofErr w:type="spellStart"/>
      <w:r>
        <w:rPr>
          <w:sz w:val="24"/>
        </w:rPr>
        <w:t>MS</w:t>
      </w:r>
      <w:r w:rsidRPr="00AB08D1">
        <w:rPr>
          <w:sz w:val="24"/>
          <w:vertAlign w:val="superscript"/>
        </w:rPr>
        <w:t>a</w:t>
      </w:r>
      <w:proofErr w:type="spellEnd"/>
      <w:r>
        <w:rPr>
          <w:sz w:val="24"/>
        </w:rPr>
        <w:t xml:space="preserve">, </w:t>
      </w:r>
      <w:r w:rsidRPr="00257F7A">
        <w:rPr>
          <w:sz w:val="24"/>
        </w:rPr>
        <w:t>H. Matthew Lehrer</w:t>
      </w:r>
      <w:r>
        <w:rPr>
          <w:sz w:val="24"/>
        </w:rPr>
        <w:t xml:space="preserve">, </w:t>
      </w:r>
      <w:proofErr w:type="spellStart"/>
      <w:r>
        <w:rPr>
          <w:sz w:val="24"/>
        </w:rPr>
        <w:t>PhD</w:t>
      </w:r>
      <w:r>
        <w:rPr>
          <w:sz w:val="24"/>
          <w:vertAlign w:val="superscript"/>
        </w:rPr>
        <w:t>b</w:t>
      </w:r>
      <w:proofErr w:type="spellEnd"/>
      <w:r>
        <w:rPr>
          <w:sz w:val="24"/>
        </w:rPr>
        <w:t xml:space="preserve">, </w:t>
      </w:r>
    </w:p>
    <w:p w14:paraId="2246F06D" w14:textId="77777777" w:rsidR="003C200E" w:rsidRPr="00257F7A" w:rsidRDefault="003C200E" w:rsidP="003C200E">
      <w:pPr>
        <w:pStyle w:val="Authornames"/>
        <w:snapToGrid w:val="0"/>
        <w:spacing w:before="0" w:line="480" w:lineRule="auto"/>
        <w:jc w:val="center"/>
        <w:rPr>
          <w:sz w:val="24"/>
        </w:rPr>
      </w:pPr>
      <w:r w:rsidRPr="00257F7A">
        <w:rPr>
          <w:sz w:val="24"/>
        </w:rPr>
        <w:t>Mary A. Steinhardt</w:t>
      </w:r>
      <w:r>
        <w:rPr>
          <w:sz w:val="24"/>
        </w:rPr>
        <w:t xml:space="preserve">, EdD, </w:t>
      </w:r>
      <w:proofErr w:type="spellStart"/>
      <w:r>
        <w:rPr>
          <w:sz w:val="24"/>
        </w:rPr>
        <w:t>FAAHB</w:t>
      </w:r>
      <w:r w:rsidRPr="00AB08D1">
        <w:rPr>
          <w:sz w:val="24"/>
          <w:vertAlign w:val="superscript"/>
        </w:rPr>
        <w:t>a</w:t>
      </w:r>
      <w:proofErr w:type="spellEnd"/>
    </w:p>
    <w:p w14:paraId="16825BC5" w14:textId="77777777" w:rsidR="003C200E" w:rsidRPr="00257F7A" w:rsidRDefault="003C200E" w:rsidP="003C200E">
      <w:pPr>
        <w:snapToGrid w:val="0"/>
        <w:spacing w:line="480" w:lineRule="auto"/>
        <w:rPr>
          <w:lang w:val="en-GB" w:eastAsia="en-GB"/>
        </w:rPr>
      </w:pPr>
      <w:r w:rsidRPr="00AB08D1">
        <w:rPr>
          <w:vertAlign w:val="superscript"/>
        </w:rPr>
        <w:t>a</w:t>
      </w:r>
      <w:r w:rsidRPr="00257F7A">
        <w:rPr>
          <w:lang w:val="en-GB" w:eastAsia="en-GB"/>
        </w:rPr>
        <w:t xml:space="preserve">Department of Kinesiology </w:t>
      </w:r>
      <w:r>
        <w:rPr>
          <w:lang w:val="en-GB" w:eastAsia="en-GB"/>
        </w:rPr>
        <w:t>&amp;</w:t>
      </w:r>
      <w:r w:rsidRPr="00257F7A">
        <w:rPr>
          <w:lang w:val="en-GB" w:eastAsia="en-GB"/>
        </w:rPr>
        <w:t xml:space="preserve"> Health Education</w:t>
      </w:r>
      <w:r>
        <w:rPr>
          <w:lang w:val="en-GB" w:eastAsia="en-GB"/>
        </w:rPr>
        <w:t xml:space="preserve">, </w:t>
      </w:r>
      <w:r w:rsidRPr="00257F7A">
        <w:rPr>
          <w:lang w:val="en-GB" w:eastAsia="en-GB"/>
        </w:rPr>
        <w:t>The University of Texas at Austin</w:t>
      </w:r>
      <w:r>
        <w:rPr>
          <w:lang w:val="en-GB" w:eastAsia="en-GB"/>
        </w:rPr>
        <w:t>, Austin, TX</w:t>
      </w:r>
    </w:p>
    <w:p w14:paraId="220743B3" w14:textId="77777777" w:rsidR="003C200E" w:rsidRPr="00257F7A" w:rsidRDefault="003C200E" w:rsidP="003C200E">
      <w:pPr>
        <w:snapToGrid w:val="0"/>
        <w:spacing w:line="480" w:lineRule="auto"/>
        <w:rPr>
          <w:lang w:val="en-GB" w:eastAsia="en-GB"/>
        </w:rPr>
      </w:pPr>
      <w:r>
        <w:rPr>
          <w:vertAlign w:val="superscript"/>
        </w:rPr>
        <w:t>b</w:t>
      </w:r>
      <w:r w:rsidRPr="00257F7A">
        <w:rPr>
          <w:lang w:val="en-GB" w:eastAsia="en-GB"/>
        </w:rPr>
        <w:t>Department of Psychiatry</w:t>
      </w:r>
      <w:r>
        <w:rPr>
          <w:lang w:val="en-GB" w:eastAsia="en-GB"/>
        </w:rPr>
        <w:t xml:space="preserve">, School of Medicine, </w:t>
      </w:r>
      <w:r w:rsidRPr="00257F7A">
        <w:rPr>
          <w:lang w:val="en-GB" w:eastAsia="en-GB"/>
        </w:rPr>
        <w:t>University of Pittsburgh</w:t>
      </w:r>
      <w:r>
        <w:rPr>
          <w:lang w:val="en-GB" w:eastAsia="en-GB"/>
        </w:rPr>
        <w:t>, Pittsburgh, PA</w:t>
      </w:r>
    </w:p>
    <w:p w14:paraId="0BBCE72C" w14:textId="77777777" w:rsidR="003C200E" w:rsidRPr="00B4454D" w:rsidRDefault="003C200E" w:rsidP="003C200E">
      <w:pPr>
        <w:snapToGrid w:val="0"/>
        <w:rPr>
          <w:b/>
          <w:iCs/>
        </w:rPr>
      </w:pPr>
      <w:r w:rsidRPr="00B4454D">
        <w:rPr>
          <w:b/>
          <w:iCs/>
        </w:rPr>
        <w:t xml:space="preserve">Corresponding Author: </w:t>
      </w:r>
    </w:p>
    <w:p w14:paraId="68FD3EDA" w14:textId="77777777" w:rsidR="003C200E" w:rsidRPr="00257F7A" w:rsidRDefault="003C200E" w:rsidP="003C200E">
      <w:pPr>
        <w:snapToGrid w:val="0"/>
        <w:rPr>
          <w:bCs/>
        </w:rPr>
      </w:pPr>
      <w:r w:rsidRPr="00257F7A">
        <w:rPr>
          <w:bCs/>
        </w:rPr>
        <w:t xml:space="preserve">Mary A. </w:t>
      </w:r>
      <w:r w:rsidRPr="00496B80">
        <w:rPr>
          <w:bCs/>
        </w:rPr>
        <w:t xml:space="preserve">Steinhardt, </w:t>
      </w:r>
      <w:hyperlink r:id="rId9" w:history="1">
        <w:r w:rsidRPr="00496B80">
          <w:rPr>
            <w:rStyle w:val="Hyperlink"/>
            <w:shd w:val="clear" w:color="auto" w:fill="FFFFFF"/>
          </w:rPr>
          <w:t>https://orcid.org/0000-0003-3203-7054</w:t>
        </w:r>
      </w:hyperlink>
      <w:r>
        <w:rPr>
          <w:rFonts w:ascii="Arial" w:hAnsi="Arial" w:cs="Arial"/>
          <w:color w:val="000000"/>
          <w:sz w:val="18"/>
          <w:szCs w:val="18"/>
          <w:shd w:val="clear" w:color="auto" w:fill="FFFFFF"/>
        </w:rPr>
        <w:t xml:space="preserve">  </w:t>
      </w:r>
    </w:p>
    <w:p w14:paraId="5661100E" w14:textId="77777777" w:rsidR="003C200E" w:rsidRPr="00257F7A" w:rsidRDefault="003C200E" w:rsidP="003C200E">
      <w:pPr>
        <w:snapToGrid w:val="0"/>
        <w:rPr>
          <w:bCs/>
        </w:rPr>
      </w:pPr>
      <w:r w:rsidRPr="00257F7A">
        <w:rPr>
          <w:bCs/>
        </w:rPr>
        <w:t xml:space="preserve">Department of Kinesiology </w:t>
      </w:r>
      <w:r>
        <w:rPr>
          <w:bCs/>
        </w:rPr>
        <w:t>&amp;</w:t>
      </w:r>
      <w:r w:rsidRPr="00257F7A">
        <w:rPr>
          <w:bCs/>
        </w:rPr>
        <w:t xml:space="preserve"> Health Education </w:t>
      </w:r>
    </w:p>
    <w:p w14:paraId="64B1C146" w14:textId="77777777" w:rsidR="003C200E" w:rsidRPr="008C7797" w:rsidRDefault="003C200E" w:rsidP="003C200E">
      <w:pPr>
        <w:snapToGrid w:val="0"/>
        <w:rPr>
          <w:rStyle w:val="Hyperlink"/>
          <w:bCs/>
          <w:color w:val="auto"/>
          <w:u w:val="none"/>
        </w:rPr>
      </w:pPr>
      <w:r w:rsidRPr="00257F7A">
        <w:rPr>
          <w:bCs/>
        </w:rPr>
        <w:t>2109 San Jacinto Blvd D3700</w:t>
      </w:r>
      <w:r w:rsidRPr="00257F7A">
        <w:rPr>
          <w:bCs/>
        </w:rPr>
        <w:br/>
        <w:t>The University of Texas at Austin</w:t>
      </w:r>
      <w:r w:rsidRPr="00257F7A">
        <w:rPr>
          <w:bCs/>
        </w:rPr>
        <w:br/>
        <w:t>Austin, TX, 78712</w:t>
      </w:r>
      <w:r w:rsidRPr="00257F7A">
        <w:rPr>
          <w:bCs/>
        </w:rPr>
        <w:br/>
        <w:t>Phone: 512</w:t>
      </w:r>
      <w:r>
        <w:rPr>
          <w:bCs/>
        </w:rPr>
        <w:t>-</w:t>
      </w:r>
      <w:r w:rsidRPr="00257F7A">
        <w:rPr>
          <w:bCs/>
        </w:rPr>
        <w:t>232</w:t>
      </w:r>
      <w:r>
        <w:rPr>
          <w:bCs/>
        </w:rPr>
        <w:t>-</w:t>
      </w:r>
      <w:r w:rsidRPr="00257F7A">
        <w:rPr>
          <w:bCs/>
        </w:rPr>
        <w:t>3535</w:t>
      </w:r>
      <w:r>
        <w:rPr>
          <w:bCs/>
        </w:rPr>
        <w:t xml:space="preserve">; </w:t>
      </w:r>
      <w:r w:rsidRPr="00257F7A">
        <w:rPr>
          <w:bCs/>
        </w:rPr>
        <w:t xml:space="preserve">Email: </w:t>
      </w:r>
      <w:hyperlink r:id="rId10" w:history="1">
        <w:r w:rsidRPr="00890238">
          <w:rPr>
            <w:rStyle w:val="Hyperlink"/>
            <w:bCs/>
          </w:rPr>
          <w:t>msteinhardt@austin.utexas.edu</w:t>
        </w:r>
      </w:hyperlink>
    </w:p>
    <w:p w14:paraId="1250929E" w14:textId="77777777" w:rsidR="003C200E" w:rsidRDefault="003C200E" w:rsidP="003C200E">
      <w:pPr>
        <w:snapToGrid w:val="0"/>
        <w:rPr>
          <w:bCs/>
          <w:iCs/>
        </w:rPr>
      </w:pPr>
    </w:p>
    <w:p w14:paraId="3815785D" w14:textId="382A2D2B" w:rsidR="003C200E" w:rsidRPr="00B4454D" w:rsidRDefault="003C200E" w:rsidP="003C200E">
      <w:pPr>
        <w:snapToGrid w:val="0"/>
        <w:rPr>
          <w:bCs/>
          <w:iCs/>
        </w:rPr>
      </w:pPr>
      <w:r w:rsidRPr="00B4454D">
        <w:rPr>
          <w:bCs/>
          <w:iCs/>
        </w:rPr>
        <w:t>Word count (main body of text):</w:t>
      </w:r>
      <w:r>
        <w:rPr>
          <w:bCs/>
          <w:iCs/>
        </w:rPr>
        <w:t xml:space="preserve"> </w:t>
      </w:r>
      <w:r w:rsidR="00A03987" w:rsidRPr="00A03987">
        <w:rPr>
          <w:bCs/>
          <w:iCs/>
          <w:highlight w:val="yellow"/>
        </w:rPr>
        <w:t>4</w:t>
      </w:r>
      <w:r w:rsidR="00A03987" w:rsidRPr="003D27DF">
        <w:rPr>
          <w:bCs/>
          <w:iCs/>
          <w:highlight w:val="yellow"/>
        </w:rPr>
        <w:t>,</w:t>
      </w:r>
      <w:r w:rsidR="003D27DF" w:rsidRPr="0045473C">
        <w:rPr>
          <w:bCs/>
          <w:iCs/>
          <w:highlight w:val="yellow"/>
        </w:rPr>
        <w:t>5</w:t>
      </w:r>
      <w:r w:rsidR="0045473C" w:rsidRPr="0045473C">
        <w:rPr>
          <w:bCs/>
          <w:iCs/>
          <w:highlight w:val="yellow"/>
        </w:rPr>
        <w:t>08</w:t>
      </w:r>
    </w:p>
    <w:p w14:paraId="2AB74DC5" w14:textId="362EE381" w:rsidR="003C200E" w:rsidRDefault="003C200E" w:rsidP="003C200E">
      <w:pPr>
        <w:snapToGrid w:val="0"/>
        <w:rPr>
          <w:bCs/>
          <w:iCs/>
        </w:rPr>
      </w:pPr>
      <w:r>
        <w:rPr>
          <w:bCs/>
          <w:iCs/>
        </w:rPr>
        <w:t xml:space="preserve">Number of pages: </w:t>
      </w:r>
      <w:r w:rsidRPr="0045473C">
        <w:rPr>
          <w:bCs/>
          <w:iCs/>
          <w:highlight w:val="yellow"/>
        </w:rPr>
        <w:t>2</w:t>
      </w:r>
      <w:r w:rsidR="0045473C" w:rsidRPr="0045473C">
        <w:rPr>
          <w:bCs/>
          <w:iCs/>
          <w:highlight w:val="yellow"/>
        </w:rPr>
        <w:t>7</w:t>
      </w:r>
    </w:p>
    <w:p w14:paraId="552F4B11" w14:textId="77777777" w:rsidR="003C200E" w:rsidRPr="001B6B88" w:rsidRDefault="003C200E" w:rsidP="003C200E">
      <w:pPr>
        <w:snapToGrid w:val="0"/>
        <w:rPr>
          <w:bCs/>
          <w:iCs/>
        </w:rPr>
      </w:pPr>
      <w:r>
        <w:rPr>
          <w:bCs/>
          <w:iCs/>
        </w:rPr>
        <w:t>Number of tables</w:t>
      </w:r>
      <w:r w:rsidRPr="001B6B88">
        <w:rPr>
          <w:bCs/>
          <w:iCs/>
        </w:rPr>
        <w:t>: 2</w:t>
      </w:r>
    </w:p>
    <w:p w14:paraId="125FB67A" w14:textId="77777777" w:rsidR="003C200E" w:rsidRDefault="003C200E" w:rsidP="003C200E">
      <w:pPr>
        <w:snapToGrid w:val="0"/>
        <w:rPr>
          <w:bCs/>
          <w:iCs/>
        </w:rPr>
      </w:pPr>
      <w:r>
        <w:rPr>
          <w:bCs/>
          <w:iCs/>
        </w:rPr>
        <w:t>Number of figures: 1</w:t>
      </w:r>
    </w:p>
    <w:p w14:paraId="7CE81DFD" w14:textId="77777777" w:rsidR="003C200E" w:rsidRDefault="003C200E" w:rsidP="003C200E">
      <w:pPr>
        <w:snapToGrid w:val="0"/>
        <w:rPr>
          <w:bCs/>
          <w:iCs/>
        </w:rPr>
      </w:pPr>
    </w:p>
    <w:p w14:paraId="6FD37189" w14:textId="77777777" w:rsidR="003C200E" w:rsidRPr="00B4454D" w:rsidRDefault="003C200E" w:rsidP="003C200E">
      <w:pPr>
        <w:snapToGrid w:val="0"/>
        <w:rPr>
          <w:b/>
          <w:iCs/>
        </w:rPr>
      </w:pPr>
      <w:r w:rsidRPr="00B4454D">
        <w:rPr>
          <w:b/>
          <w:iCs/>
        </w:rPr>
        <w:t xml:space="preserve">Conflict of interest statement: </w:t>
      </w:r>
    </w:p>
    <w:p w14:paraId="1DB79413" w14:textId="77777777" w:rsidR="003C200E" w:rsidRDefault="003C200E" w:rsidP="003C200E">
      <w:pPr>
        <w:snapToGrid w:val="0"/>
        <w:rPr>
          <w:bCs/>
          <w:iCs/>
        </w:rPr>
      </w:pPr>
      <w:r>
        <w:rPr>
          <w:bCs/>
          <w:iCs/>
        </w:rPr>
        <w:t>The authors have no conflicts of interest to declare.</w:t>
      </w:r>
    </w:p>
    <w:p w14:paraId="26B867C2" w14:textId="77777777" w:rsidR="003C200E" w:rsidRDefault="003C200E" w:rsidP="003C200E">
      <w:pPr>
        <w:snapToGrid w:val="0"/>
        <w:rPr>
          <w:bCs/>
          <w:iCs/>
        </w:rPr>
      </w:pPr>
    </w:p>
    <w:p w14:paraId="0B714290" w14:textId="77777777" w:rsidR="003C200E" w:rsidRPr="00B4454D" w:rsidRDefault="003C200E" w:rsidP="003C200E">
      <w:pPr>
        <w:snapToGrid w:val="0"/>
        <w:rPr>
          <w:b/>
          <w:iCs/>
        </w:rPr>
      </w:pPr>
      <w:r w:rsidRPr="00B4454D">
        <w:rPr>
          <w:b/>
          <w:iCs/>
        </w:rPr>
        <w:t xml:space="preserve">Authors’ contributions: </w:t>
      </w:r>
    </w:p>
    <w:p w14:paraId="131353ED" w14:textId="687EBE5C" w:rsidR="003C200E" w:rsidRDefault="003C200E" w:rsidP="003C200E">
      <w:pPr>
        <w:snapToGrid w:val="0"/>
        <w:rPr>
          <w:bCs/>
          <w:iCs/>
        </w:rPr>
      </w:pPr>
      <w:r>
        <w:rPr>
          <w:bCs/>
          <w:iCs/>
        </w:rPr>
        <w:t xml:space="preserve">JW: </w:t>
      </w:r>
      <w:r w:rsidR="001C39C3">
        <w:rPr>
          <w:bCs/>
          <w:iCs/>
        </w:rPr>
        <w:t xml:space="preserve">conceptualization, </w:t>
      </w:r>
      <w:r>
        <w:rPr>
          <w:bCs/>
          <w:iCs/>
        </w:rPr>
        <w:t>data curation, formal analysis, writing–original draft, writing–review &amp; editing, approval of final submission</w:t>
      </w:r>
    </w:p>
    <w:p w14:paraId="678754C1" w14:textId="29835579" w:rsidR="003C200E" w:rsidRDefault="003C200E" w:rsidP="003C200E">
      <w:pPr>
        <w:snapToGrid w:val="0"/>
        <w:rPr>
          <w:bCs/>
          <w:iCs/>
        </w:rPr>
      </w:pPr>
      <w:r>
        <w:rPr>
          <w:bCs/>
          <w:iCs/>
        </w:rPr>
        <w:t>EZW: data curation, formal analysis, writing–review &amp; editing, approval of final submission</w:t>
      </w:r>
    </w:p>
    <w:p w14:paraId="4DCB7004" w14:textId="765C7525" w:rsidR="003C200E" w:rsidRDefault="003C200E" w:rsidP="003C200E">
      <w:pPr>
        <w:snapToGrid w:val="0"/>
        <w:rPr>
          <w:bCs/>
          <w:iCs/>
        </w:rPr>
      </w:pPr>
      <w:r>
        <w:rPr>
          <w:bCs/>
          <w:iCs/>
        </w:rPr>
        <w:t>JIW: data collection &amp; curation, writing–review &amp; editing, approval of final submission</w:t>
      </w:r>
    </w:p>
    <w:p w14:paraId="1095259E" w14:textId="77777777" w:rsidR="003C200E" w:rsidRDefault="003C200E" w:rsidP="003C200E">
      <w:pPr>
        <w:snapToGrid w:val="0"/>
        <w:rPr>
          <w:bCs/>
          <w:iCs/>
        </w:rPr>
      </w:pPr>
      <w:r>
        <w:rPr>
          <w:bCs/>
          <w:iCs/>
        </w:rPr>
        <w:t>HML: conceptualization, data curation, writing–review &amp; editing, approval of final submission</w:t>
      </w:r>
    </w:p>
    <w:p w14:paraId="44D0E1E9" w14:textId="77777777" w:rsidR="003C200E" w:rsidRDefault="003C200E" w:rsidP="003C200E">
      <w:pPr>
        <w:snapToGrid w:val="0"/>
        <w:rPr>
          <w:bCs/>
          <w:iCs/>
        </w:rPr>
      </w:pPr>
      <w:r>
        <w:rPr>
          <w:bCs/>
          <w:iCs/>
        </w:rPr>
        <w:t>MAS: conceptualization, project administration, data curation, writing–original draft, writing–review &amp; editing, approval of final submission</w:t>
      </w:r>
    </w:p>
    <w:p w14:paraId="1C777460" w14:textId="77777777" w:rsidR="003C200E" w:rsidRDefault="003C200E" w:rsidP="003C200E">
      <w:pPr>
        <w:snapToGrid w:val="0"/>
        <w:rPr>
          <w:bCs/>
          <w:iCs/>
        </w:rPr>
      </w:pPr>
    </w:p>
    <w:p w14:paraId="2DB83A5A" w14:textId="77777777" w:rsidR="003C200E" w:rsidRPr="00B4454D" w:rsidRDefault="003C200E" w:rsidP="003C200E">
      <w:pPr>
        <w:snapToGrid w:val="0"/>
        <w:rPr>
          <w:b/>
          <w:iCs/>
        </w:rPr>
      </w:pPr>
      <w:r w:rsidRPr="00B4454D">
        <w:rPr>
          <w:b/>
          <w:iCs/>
        </w:rPr>
        <w:t xml:space="preserve">Gallup Copyright Statement:  </w:t>
      </w:r>
    </w:p>
    <w:p w14:paraId="0FA3605F" w14:textId="4CC14755" w:rsidR="003C200E" w:rsidRPr="00B4454D" w:rsidRDefault="003C200E" w:rsidP="003C200E">
      <w:pPr>
        <w:snapToGrid w:val="0"/>
        <w:rPr>
          <w:rStyle w:val="Hyperlink"/>
          <w:bCs/>
          <w:iCs/>
          <w:color w:val="auto"/>
          <w:u w:val="none"/>
        </w:rPr>
      </w:pPr>
      <w:r w:rsidRPr="009D4E6F">
        <w:rPr>
          <w:bCs/>
          <w:iCs/>
        </w:rPr>
        <w:t xml:space="preserve">Gallup® is a trademark of Gallup, Inc. All rights reserved. The Gallup “Big Six” survey items are copyright © Gallup, Inc. All rights reserved. No person, entity or organization may conduct a survey or republish the question items without the written approval of Gallup, Inc.  The non-Gallup information you are receiving has not been approved and is not sanctioned or endorsed by Gallup in any way. Opinions, </w:t>
      </w:r>
      <w:proofErr w:type="gramStart"/>
      <w:r w:rsidRPr="009D4E6F">
        <w:rPr>
          <w:bCs/>
          <w:iCs/>
        </w:rPr>
        <w:t>views</w:t>
      </w:r>
      <w:proofErr w:type="gramEnd"/>
      <w:r w:rsidRPr="009D4E6F">
        <w:rPr>
          <w:bCs/>
          <w:iCs/>
        </w:rPr>
        <w:t xml:space="preserve"> and interpretations of the information presented are solely the beliefs of the authors.</w:t>
      </w:r>
    </w:p>
    <w:p w14:paraId="42399A77" w14:textId="024E5A42" w:rsidR="00E44261" w:rsidRDefault="00E44261" w:rsidP="00E44261">
      <w:pPr>
        <w:pStyle w:val="Authornames"/>
        <w:snapToGrid w:val="0"/>
        <w:spacing w:before="0" w:line="480" w:lineRule="auto"/>
        <w:jc w:val="center"/>
        <w:rPr>
          <w:b/>
          <w:sz w:val="24"/>
        </w:rPr>
      </w:pPr>
      <w:r>
        <w:rPr>
          <w:b/>
          <w:sz w:val="24"/>
        </w:rPr>
        <w:lastRenderedPageBreak/>
        <w:t xml:space="preserve">Positive </w:t>
      </w:r>
      <w:r w:rsidRPr="00257F7A">
        <w:rPr>
          <w:b/>
          <w:sz w:val="24"/>
        </w:rPr>
        <w:t xml:space="preserve">College Experiences </w:t>
      </w:r>
      <w:r>
        <w:rPr>
          <w:b/>
          <w:sz w:val="24"/>
        </w:rPr>
        <w:t xml:space="preserve">Moderate the </w:t>
      </w:r>
      <w:r w:rsidRPr="00257F7A">
        <w:rPr>
          <w:b/>
          <w:sz w:val="24"/>
        </w:rPr>
        <w:t xml:space="preserve">Association Between Resilience and Anxiety </w:t>
      </w:r>
      <w:r w:rsidR="00670A5A">
        <w:rPr>
          <w:b/>
          <w:sz w:val="24"/>
        </w:rPr>
        <w:t xml:space="preserve">Symptoms </w:t>
      </w:r>
      <w:r w:rsidRPr="00257F7A">
        <w:rPr>
          <w:b/>
          <w:sz w:val="24"/>
        </w:rPr>
        <w:t>among Underrepresented College Students</w:t>
      </w:r>
    </w:p>
    <w:p w14:paraId="115729D3" w14:textId="339B6301" w:rsidR="0047662C" w:rsidRPr="00257F7A" w:rsidRDefault="00260076" w:rsidP="00E44261">
      <w:pPr>
        <w:pStyle w:val="Authornames"/>
        <w:spacing w:line="480" w:lineRule="auto"/>
        <w:jc w:val="center"/>
        <w:rPr>
          <w:b/>
          <w:sz w:val="24"/>
        </w:rPr>
      </w:pPr>
      <w:r>
        <w:rPr>
          <w:b/>
          <w:sz w:val="24"/>
        </w:rPr>
        <w:t>Abstract</w:t>
      </w:r>
    </w:p>
    <w:p w14:paraId="74E8F271" w14:textId="40A1607D" w:rsidR="000F76DB" w:rsidRPr="00257F7A" w:rsidRDefault="00A10228" w:rsidP="003626EF">
      <w:pPr>
        <w:snapToGrid w:val="0"/>
        <w:spacing w:line="480" w:lineRule="auto"/>
        <w:rPr>
          <w:color w:val="000000"/>
        </w:rPr>
      </w:pPr>
      <w:bookmarkStart w:id="1" w:name="_Hlk20414663"/>
      <w:r w:rsidRPr="00257F7A">
        <w:t>Generalized a</w:t>
      </w:r>
      <w:r w:rsidR="00956CE6" w:rsidRPr="00257F7A">
        <w:t>nxiety disorders are among the most prevalent mental health concern</w:t>
      </w:r>
      <w:r w:rsidRPr="00257F7A">
        <w:t>s</w:t>
      </w:r>
      <w:r w:rsidR="00956CE6" w:rsidRPr="00257F7A">
        <w:t xml:space="preserve"> for college students. </w:t>
      </w:r>
      <w:r w:rsidR="000551E6" w:rsidRPr="00257F7A">
        <w:t>R</w:t>
      </w:r>
      <w:r w:rsidR="004D1663" w:rsidRPr="00257F7A">
        <w:t>esilience, one’s</w:t>
      </w:r>
      <w:r w:rsidR="00956CE6" w:rsidRPr="00257F7A">
        <w:t xml:space="preserve"> ability to recover from adversity, </w:t>
      </w:r>
      <w:r w:rsidR="000F1F64" w:rsidRPr="00257F7A">
        <w:t>is a critical component in reducing anxiety</w:t>
      </w:r>
      <w:r w:rsidR="00956CE6" w:rsidRPr="00257F7A">
        <w:t xml:space="preserve">. </w:t>
      </w:r>
      <w:r w:rsidR="00FF3F88">
        <w:t>T</w:t>
      </w:r>
      <w:r w:rsidR="00E32083">
        <w:t>he</w:t>
      </w:r>
      <w:r w:rsidR="00E32083" w:rsidRPr="00257F7A">
        <w:t xml:space="preserve"> </w:t>
      </w:r>
      <w:r w:rsidR="00956CE6" w:rsidRPr="00257F7A">
        <w:t xml:space="preserve">association between resilience and anxiety may be </w:t>
      </w:r>
      <w:r w:rsidR="004D1663" w:rsidRPr="00257F7A">
        <w:t>strengthened</w:t>
      </w:r>
      <w:r w:rsidR="00956CE6" w:rsidRPr="00257F7A">
        <w:t xml:space="preserve"> by </w:t>
      </w:r>
      <w:r w:rsidR="00400B59">
        <w:t>positive</w:t>
      </w:r>
      <w:r w:rsidR="00E633C6">
        <w:t xml:space="preserve"> </w:t>
      </w:r>
      <w:r w:rsidR="00956CE6" w:rsidRPr="00257F7A">
        <w:t xml:space="preserve">college experiences of </w:t>
      </w:r>
      <w:r w:rsidRPr="00257F7A">
        <w:t xml:space="preserve">institutional </w:t>
      </w:r>
      <w:r w:rsidR="00956CE6" w:rsidRPr="00257F7A">
        <w:t>support and experiential learning</w:t>
      </w:r>
      <w:r w:rsidR="00FF3F88">
        <w:t xml:space="preserve">, particularly </w:t>
      </w:r>
      <w:r w:rsidR="003626EF">
        <w:t>among</w:t>
      </w:r>
      <w:r w:rsidR="00FF3F88">
        <w:t xml:space="preserve"> underrepresented students</w:t>
      </w:r>
      <w:r w:rsidR="00956CE6" w:rsidRPr="00257F7A">
        <w:t xml:space="preserve">. </w:t>
      </w:r>
      <w:r w:rsidR="00C94FDE">
        <w:rPr>
          <w:bCs/>
          <w:color w:val="000000"/>
        </w:rPr>
        <w:t>T</w:t>
      </w:r>
      <w:r w:rsidR="00956CE6" w:rsidRPr="00257F7A">
        <w:t xml:space="preserve">his study </w:t>
      </w:r>
      <w:r w:rsidR="00956CE6" w:rsidRPr="00257F7A">
        <w:rPr>
          <w:bCs/>
          <w:color w:val="000000"/>
        </w:rPr>
        <w:t xml:space="preserve">examined </w:t>
      </w:r>
      <w:r w:rsidR="00956CE6" w:rsidRPr="00257F7A">
        <w:t>whether</w:t>
      </w:r>
      <w:r w:rsidR="00CE4C69">
        <w:t xml:space="preserve"> positive</w:t>
      </w:r>
      <w:r w:rsidR="00956CE6" w:rsidRPr="00257F7A">
        <w:t xml:space="preserve"> college experience</w:t>
      </w:r>
      <w:r w:rsidR="005330EC" w:rsidRPr="00257F7A">
        <w:t>s</w:t>
      </w:r>
      <w:r w:rsidR="00956CE6" w:rsidRPr="00257F7A">
        <w:t xml:space="preserve"> (</w:t>
      </w:r>
      <w:r w:rsidR="00033C71" w:rsidRPr="00257F7A">
        <w:t>Gallup</w:t>
      </w:r>
      <w:r w:rsidR="00B8599D">
        <w:t xml:space="preserve"> “Big Six”</w:t>
      </w:r>
      <w:r w:rsidR="00956CE6" w:rsidRPr="00257F7A">
        <w:t>) moderate</w:t>
      </w:r>
      <w:r w:rsidR="002D41BD">
        <w:t>d</w:t>
      </w:r>
      <w:r w:rsidR="00956CE6" w:rsidRPr="00257F7A">
        <w:t xml:space="preserve"> the association between resilience (B</w:t>
      </w:r>
      <w:r w:rsidR="00524FE1">
        <w:t>rief Resilience Scale</w:t>
      </w:r>
      <w:r w:rsidR="00956CE6" w:rsidRPr="00257F7A">
        <w:t>) and anxiety</w:t>
      </w:r>
      <w:r w:rsidR="00524FE1">
        <w:t xml:space="preserve"> symptoms</w:t>
      </w:r>
      <w:r w:rsidR="00956CE6" w:rsidRPr="00257F7A">
        <w:t xml:space="preserve"> (</w:t>
      </w:r>
      <w:r w:rsidR="00B8599D">
        <w:t>Generalized Anxiety Disorder</w:t>
      </w:r>
      <w:r w:rsidR="00956CE6" w:rsidRPr="00257F7A">
        <w:t xml:space="preserve">-7) </w:t>
      </w:r>
      <w:r w:rsidRPr="00257F7A">
        <w:t>among</w:t>
      </w:r>
      <w:r w:rsidR="00956CE6" w:rsidRPr="00257F7A">
        <w:t xml:space="preserve"> underrepresented </w:t>
      </w:r>
      <w:r w:rsidR="00956CE6" w:rsidRPr="00796BFF">
        <w:t>college students</w:t>
      </w:r>
      <w:bookmarkEnd w:id="1"/>
      <w:r w:rsidR="00956CE6" w:rsidRPr="00796BFF">
        <w:t xml:space="preserve"> (</w:t>
      </w:r>
      <w:r w:rsidR="00956CE6" w:rsidRPr="00796BFF">
        <w:rPr>
          <w:i/>
        </w:rPr>
        <w:t>N</w:t>
      </w:r>
      <w:r w:rsidR="00956CE6" w:rsidRPr="00796BFF">
        <w:t xml:space="preserve"> = 4</w:t>
      </w:r>
      <w:r w:rsidR="006E491E" w:rsidRPr="00796BFF">
        <w:t>30</w:t>
      </w:r>
      <w:r w:rsidR="00956CE6" w:rsidRPr="00796BFF">
        <w:t xml:space="preserve">; </w:t>
      </w:r>
      <w:r w:rsidR="003577BE" w:rsidRPr="00796BFF">
        <w:rPr>
          <w:iCs/>
        </w:rPr>
        <w:t>73.</w:t>
      </w:r>
      <w:r w:rsidR="006E491E" w:rsidRPr="00796BFF">
        <w:rPr>
          <w:iCs/>
        </w:rPr>
        <w:t>5</w:t>
      </w:r>
      <w:r w:rsidR="003577BE" w:rsidRPr="00796BFF">
        <w:rPr>
          <w:iCs/>
        </w:rPr>
        <w:t>% first</w:t>
      </w:r>
      <w:r w:rsidR="00BC42F7">
        <w:rPr>
          <w:iCs/>
        </w:rPr>
        <w:t xml:space="preserve"> </w:t>
      </w:r>
      <w:r w:rsidR="003577BE" w:rsidRPr="00796BFF">
        <w:rPr>
          <w:iCs/>
        </w:rPr>
        <w:t>year</w:t>
      </w:r>
      <w:r w:rsidR="00956CE6" w:rsidRPr="00796BFF">
        <w:rPr>
          <w:iCs/>
        </w:rPr>
        <w:t>; 3</w:t>
      </w:r>
      <w:r w:rsidR="006E491E" w:rsidRPr="00796BFF">
        <w:rPr>
          <w:iCs/>
        </w:rPr>
        <w:t>8</w:t>
      </w:r>
      <w:r w:rsidR="00956CE6" w:rsidRPr="00796BFF">
        <w:t>.</w:t>
      </w:r>
      <w:r w:rsidR="006E491E" w:rsidRPr="00796BFF">
        <w:t>1</w:t>
      </w:r>
      <w:r w:rsidR="00956CE6" w:rsidRPr="00796BFF">
        <w:t>% first</w:t>
      </w:r>
      <w:r w:rsidR="00BC42F7">
        <w:t xml:space="preserve"> </w:t>
      </w:r>
      <w:r w:rsidR="00956CE6" w:rsidRPr="00796BFF">
        <w:t>generation)</w:t>
      </w:r>
      <w:r w:rsidR="00956CE6" w:rsidRPr="00796BFF">
        <w:rPr>
          <w:lang w:eastAsia="x-none"/>
        </w:rPr>
        <w:t xml:space="preserve"> at a large public institution. </w:t>
      </w:r>
      <w:r w:rsidR="00956CE6" w:rsidRPr="00796BFF">
        <w:rPr>
          <w:bCs/>
          <w:color w:val="000000"/>
        </w:rPr>
        <w:t>Controlling for demographic variables,</w:t>
      </w:r>
      <w:r w:rsidR="000A406D" w:rsidRPr="00796BFF">
        <w:rPr>
          <w:bCs/>
          <w:color w:val="000000"/>
        </w:rPr>
        <w:t xml:space="preserve"> greater</w:t>
      </w:r>
      <w:r w:rsidR="00956CE6" w:rsidRPr="00796BFF">
        <w:rPr>
          <w:bCs/>
          <w:color w:val="000000"/>
        </w:rPr>
        <w:t xml:space="preserve"> </w:t>
      </w:r>
      <w:r w:rsidR="00956CE6" w:rsidRPr="00796BFF">
        <w:rPr>
          <w:color w:val="000000"/>
        </w:rPr>
        <w:t>resilience was</w:t>
      </w:r>
      <w:r w:rsidR="002D41BD" w:rsidRPr="00796BFF">
        <w:rPr>
          <w:color w:val="000000"/>
        </w:rPr>
        <w:t xml:space="preserve"> </w:t>
      </w:r>
      <w:r w:rsidR="00956CE6" w:rsidRPr="00796BFF">
        <w:rPr>
          <w:color w:val="000000"/>
        </w:rPr>
        <w:t>associated with lower anxiety (</w:t>
      </w:r>
      <w:r w:rsidR="00956CE6" w:rsidRPr="00796BFF">
        <w:rPr>
          <w:i/>
          <w:color w:val="000000"/>
        </w:rPr>
        <w:t>β</w:t>
      </w:r>
      <w:r w:rsidR="00956CE6" w:rsidRPr="00796BFF">
        <w:rPr>
          <w:color w:val="000000"/>
        </w:rPr>
        <w:t xml:space="preserve"> = -.42, </w:t>
      </w:r>
      <w:r w:rsidR="00956CE6" w:rsidRPr="00796BFF">
        <w:rPr>
          <w:i/>
          <w:color w:val="000000"/>
        </w:rPr>
        <w:t>p</w:t>
      </w:r>
      <w:r w:rsidR="00956CE6" w:rsidRPr="00796BFF">
        <w:rPr>
          <w:color w:val="000000"/>
        </w:rPr>
        <w:t xml:space="preserve"> &lt; .001)</w:t>
      </w:r>
      <w:r w:rsidR="005762E6">
        <w:rPr>
          <w:color w:val="000000"/>
        </w:rPr>
        <w:t>. P</w:t>
      </w:r>
      <w:r w:rsidR="00CE4C69" w:rsidRPr="00796BFF">
        <w:rPr>
          <w:color w:val="000000"/>
        </w:rPr>
        <w:t xml:space="preserve">ositive </w:t>
      </w:r>
      <w:r w:rsidR="002D41BD" w:rsidRPr="00796BFF">
        <w:rPr>
          <w:color w:val="000000"/>
        </w:rPr>
        <w:t xml:space="preserve">college experiences </w:t>
      </w:r>
      <w:r w:rsidR="00E32083" w:rsidRPr="00796BFF">
        <w:rPr>
          <w:color w:val="000000"/>
        </w:rPr>
        <w:t xml:space="preserve">were not </w:t>
      </w:r>
      <w:r w:rsidR="003626EF">
        <w:rPr>
          <w:color w:val="000000"/>
        </w:rPr>
        <w:t xml:space="preserve">directly </w:t>
      </w:r>
      <w:r w:rsidR="0077060D" w:rsidRPr="00796BFF">
        <w:rPr>
          <w:color w:val="000000"/>
        </w:rPr>
        <w:t>associated</w:t>
      </w:r>
      <w:r w:rsidR="00956CE6" w:rsidRPr="00796BFF">
        <w:rPr>
          <w:color w:val="000000"/>
        </w:rPr>
        <w:t xml:space="preserve"> </w:t>
      </w:r>
      <w:r w:rsidR="00E32083" w:rsidRPr="00796BFF">
        <w:rPr>
          <w:color w:val="000000"/>
        </w:rPr>
        <w:t xml:space="preserve">with anxiety </w:t>
      </w:r>
      <w:r w:rsidR="00956CE6" w:rsidRPr="00796BFF">
        <w:rPr>
          <w:color w:val="000000"/>
        </w:rPr>
        <w:t>(</w:t>
      </w:r>
      <w:r w:rsidR="00956CE6" w:rsidRPr="00796BFF">
        <w:rPr>
          <w:i/>
          <w:color w:val="000000"/>
        </w:rPr>
        <w:t>β</w:t>
      </w:r>
      <w:r w:rsidR="00956CE6" w:rsidRPr="00796BFF">
        <w:rPr>
          <w:color w:val="000000"/>
        </w:rPr>
        <w:t xml:space="preserve"> = -.04, </w:t>
      </w:r>
      <w:r w:rsidR="00956CE6" w:rsidRPr="00796BFF">
        <w:rPr>
          <w:i/>
          <w:color w:val="000000"/>
        </w:rPr>
        <w:t>p</w:t>
      </w:r>
      <w:r w:rsidR="00956CE6" w:rsidRPr="00796BFF">
        <w:rPr>
          <w:color w:val="000000"/>
        </w:rPr>
        <w:t xml:space="preserve"> &gt; .05)</w:t>
      </w:r>
      <w:r w:rsidR="00B9421D">
        <w:rPr>
          <w:color w:val="000000"/>
        </w:rPr>
        <w:t>; h</w:t>
      </w:r>
      <w:r w:rsidR="001558F3">
        <w:rPr>
          <w:color w:val="000000"/>
        </w:rPr>
        <w:t>owever</w:t>
      </w:r>
      <w:r w:rsidR="00CB1D4F">
        <w:rPr>
          <w:color w:val="000000"/>
        </w:rPr>
        <w:t>,</w:t>
      </w:r>
      <w:r w:rsidR="001558F3">
        <w:rPr>
          <w:color w:val="000000"/>
        </w:rPr>
        <w:t xml:space="preserve"> positive c</w:t>
      </w:r>
      <w:r w:rsidR="001B7B1E" w:rsidRPr="00796BFF">
        <w:rPr>
          <w:color w:val="000000"/>
        </w:rPr>
        <w:t>ollege experiences</w:t>
      </w:r>
      <w:r w:rsidR="007E1174" w:rsidRPr="00796BFF">
        <w:t xml:space="preserve"> moderated the negative association </w:t>
      </w:r>
      <w:r w:rsidR="00B471AA">
        <w:t>of</w:t>
      </w:r>
      <w:r w:rsidR="007E1174" w:rsidRPr="00796BFF">
        <w:t xml:space="preserve"> resilience and anxiety</w:t>
      </w:r>
      <w:r w:rsidR="007E1174" w:rsidRPr="00796BFF">
        <w:rPr>
          <w:color w:val="000000"/>
        </w:rPr>
        <w:t xml:space="preserve"> </w:t>
      </w:r>
      <w:r w:rsidR="00956CE6" w:rsidRPr="00796BFF">
        <w:rPr>
          <w:color w:val="000000"/>
        </w:rPr>
        <w:t>(</w:t>
      </w:r>
      <w:r w:rsidR="00956CE6" w:rsidRPr="00796BFF">
        <w:rPr>
          <w:i/>
          <w:color w:val="000000"/>
        </w:rPr>
        <w:t>β</w:t>
      </w:r>
      <w:r w:rsidR="00956CE6" w:rsidRPr="00796BFF">
        <w:rPr>
          <w:color w:val="000000"/>
        </w:rPr>
        <w:t xml:space="preserve"> = -.14, p &lt; .01) such that </w:t>
      </w:r>
      <w:r w:rsidR="001B7B1E" w:rsidRPr="00796BFF">
        <w:rPr>
          <w:color w:val="000000"/>
        </w:rPr>
        <w:t xml:space="preserve">the association between greater resilience and lower anxiety was stronger for </w:t>
      </w:r>
      <w:r w:rsidR="009D5B1B" w:rsidRPr="00796BFF">
        <w:rPr>
          <w:color w:val="000000"/>
        </w:rPr>
        <w:t>students</w:t>
      </w:r>
      <w:r w:rsidR="001B7B1E" w:rsidRPr="00796BFF">
        <w:rPr>
          <w:color w:val="000000"/>
        </w:rPr>
        <w:t xml:space="preserve"> reporting </w:t>
      </w:r>
      <w:r w:rsidR="00B8599D">
        <w:rPr>
          <w:color w:val="000000"/>
        </w:rPr>
        <w:t>more</w:t>
      </w:r>
      <w:r w:rsidR="001B7B1E" w:rsidRPr="00796BFF">
        <w:rPr>
          <w:color w:val="000000"/>
        </w:rPr>
        <w:t xml:space="preserve"> </w:t>
      </w:r>
      <w:r w:rsidR="00E6536A">
        <w:rPr>
          <w:color w:val="000000"/>
        </w:rPr>
        <w:t xml:space="preserve">positive </w:t>
      </w:r>
      <w:r w:rsidR="001B7B1E" w:rsidRPr="00796BFF">
        <w:rPr>
          <w:color w:val="000000"/>
        </w:rPr>
        <w:t>college experiences. T</w:t>
      </w:r>
      <w:r w:rsidR="00956CE6" w:rsidRPr="00796BFF">
        <w:rPr>
          <w:color w:val="000000"/>
        </w:rPr>
        <w:t>he final model accounted for 2</w:t>
      </w:r>
      <w:r w:rsidR="00E86892" w:rsidRPr="00796BFF">
        <w:rPr>
          <w:color w:val="000000"/>
        </w:rPr>
        <w:t>1</w:t>
      </w:r>
      <w:r w:rsidR="00956CE6" w:rsidRPr="00796BFF">
        <w:rPr>
          <w:color w:val="000000"/>
        </w:rPr>
        <w:t>% of the variance in anxiety</w:t>
      </w:r>
      <w:r w:rsidR="00524FE1">
        <w:rPr>
          <w:color w:val="000000"/>
        </w:rPr>
        <w:t xml:space="preserve"> symptoms</w:t>
      </w:r>
      <w:r w:rsidR="00956CE6" w:rsidRPr="00796BFF">
        <w:rPr>
          <w:color w:val="000000"/>
        </w:rPr>
        <w:t xml:space="preserve"> (</w:t>
      </w:r>
      <w:r w:rsidR="00956CE6" w:rsidRPr="00796BFF">
        <w:rPr>
          <w:i/>
          <w:color w:val="000000"/>
        </w:rPr>
        <w:t>F</w:t>
      </w:r>
      <w:r w:rsidR="00956CE6" w:rsidRPr="00796BFF">
        <w:rPr>
          <w:iCs/>
          <w:color w:val="000000"/>
          <w:vertAlign w:val="subscript"/>
        </w:rPr>
        <w:t>11</w:t>
      </w:r>
      <w:r w:rsidR="00956CE6" w:rsidRPr="00796BFF">
        <w:rPr>
          <w:color w:val="000000"/>
          <w:vertAlign w:val="subscript"/>
        </w:rPr>
        <w:t>,4</w:t>
      </w:r>
      <w:r w:rsidR="00E86892" w:rsidRPr="00796BFF">
        <w:rPr>
          <w:color w:val="000000"/>
          <w:vertAlign w:val="subscript"/>
        </w:rPr>
        <w:t>18</w:t>
      </w:r>
      <w:r w:rsidR="00956CE6" w:rsidRPr="00796BFF">
        <w:rPr>
          <w:color w:val="000000"/>
        </w:rPr>
        <w:t xml:space="preserve"> = 1</w:t>
      </w:r>
      <w:r w:rsidR="00E86892" w:rsidRPr="00796BFF">
        <w:rPr>
          <w:color w:val="000000"/>
        </w:rPr>
        <w:t>0</w:t>
      </w:r>
      <w:r w:rsidR="00956CE6" w:rsidRPr="00796BFF">
        <w:rPr>
          <w:color w:val="000000"/>
        </w:rPr>
        <w:t>.</w:t>
      </w:r>
      <w:r w:rsidR="00E86892" w:rsidRPr="00796BFF">
        <w:rPr>
          <w:color w:val="000000"/>
        </w:rPr>
        <w:t>22</w:t>
      </w:r>
      <w:r w:rsidR="00956CE6" w:rsidRPr="00796BFF">
        <w:rPr>
          <w:color w:val="000000"/>
        </w:rPr>
        <w:t xml:space="preserve">, </w:t>
      </w:r>
      <w:r w:rsidR="00956CE6" w:rsidRPr="00796BFF">
        <w:rPr>
          <w:i/>
          <w:color w:val="000000"/>
        </w:rPr>
        <w:t>p</w:t>
      </w:r>
      <w:r w:rsidR="00956CE6" w:rsidRPr="00796BFF">
        <w:rPr>
          <w:color w:val="000000"/>
        </w:rPr>
        <w:t xml:space="preserve"> &lt; .001). </w:t>
      </w:r>
      <w:r w:rsidR="00524FE1">
        <w:rPr>
          <w:color w:val="000000"/>
        </w:rPr>
        <w:t xml:space="preserve">Findings support a </w:t>
      </w:r>
      <w:r w:rsidR="00956CE6" w:rsidRPr="00257F7A">
        <w:rPr>
          <w:color w:val="000000"/>
        </w:rPr>
        <w:t xml:space="preserve">beneficial </w:t>
      </w:r>
      <w:r w:rsidR="00DF7D26">
        <w:rPr>
          <w:color w:val="000000"/>
        </w:rPr>
        <w:t>role</w:t>
      </w:r>
      <w:r w:rsidR="00DF7D26" w:rsidRPr="00257F7A">
        <w:rPr>
          <w:color w:val="000000"/>
        </w:rPr>
        <w:t xml:space="preserve"> </w:t>
      </w:r>
      <w:r w:rsidR="00956CE6" w:rsidRPr="00257F7A">
        <w:rPr>
          <w:color w:val="000000"/>
        </w:rPr>
        <w:t>of</w:t>
      </w:r>
      <w:r w:rsidR="00796BFF" w:rsidRPr="00796BFF">
        <w:rPr>
          <w:color w:val="000000"/>
        </w:rPr>
        <w:t xml:space="preserve"> </w:t>
      </w:r>
      <w:r w:rsidR="00796BFF">
        <w:rPr>
          <w:color w:val="000000"/>
        </w:rPr>
        <w:t xml:space="preserve">positive </w:t>
      </w:r>
      <w:r w:rsidR="00796BFF" w:rsidRPr="00257F7A">
        <w:rPr>
          <w:color w:val="000000"/>
        </w:rPr>
        <w:t>college experiences</w:t>
      </w:r>
      <w:r w:rsidR="00956CE6" w:rsidRPr="00257F7A">
        <w:rPr>
          <w:color w:val="000000"/>
        </w:rPr>
        <w:t xml:space="preserve"> </w:t>
      </w:r>
      <w:r w:rsidR="00796BFF">
        <w:rPr>
          <w:color w:val="000000"/>
        </w:rPr>
        <w:t xml:space="preserve">on the </w:t>
      </w:r>
      <w:r w:rsidR="001558F3">
        <w:rPr>
          <w:color w:val="000000"/>
        </w:rPr>
        <w:t>association</w:t>
      </w:r>
      <w:r w:rsidR="00796BFF">
        <w:rPr>
          <w:color w:val="000000"/>
        </w:rPr>
        <w:t xml:space="preserve"> between </w:t>
      </w:r>
      <w:r w:rsidR="00956CE6" w:rsidRPr="00257F7A">
        <w:rPr>
          <w:color w:val="000000"/>
        </w:rPr>
        <w:t xml:space="preserve">resilience </w:t>
      </w:r>
      <w:r w:rsidR="00796BFF">
        <w:rPr>
          <w:color w:val="000000"/>
        </w:rPr>
        <w:t xml:space="preserve">and </w:t>
      </w:r>
      <w:r w:rsidR="00956CE6" w:rsidRPr="00257F7A">
        <w:rPr>
          <w:color w:val="000000"/>
        </w:rPr>
        <w:t>anxiety.</w:t>
      </w:r>
      <w:r w:rsidR="000923E6" w:rsidRPr="00257F7A">
        <w:rPr>
          <w:lang w:eastAsia="x-none"/>
        </w:rPr>
        <w:t xml:space="preserve"> </w:t>
      </w:r>
      <w:r w:rsidR="005067CD" w:rsidRPr="00257F7A">
        <w:rPr>
          <w:lang w:eastAsia="x-none"/>
        </w:rPr>
        <w:t xml:space="preserve"> </w:t>
      </w:r>
    </w:p>
    <w:p w14:paraId="246D4BA2" w14:textId="0D0CC949" w:rsidR="00E44261" w:rsidRPr="00E44261" w:rsidRDefault="006D2268" w:rsidP="00E44261">
      <w:pPr>
        <w:pStyle w:val="Authornames"/>
        <w:snapToGrid w:val="0"/>
        <w:spacing w:before="0" w:line="480" w:lineRule="auto"/>
        <w:rPr>
          <w:bCs/>
          <w:sz w:val="24"/>
        </w:rPr>
      </w:pPr>
      <w:r w:rsidRPr="00257F7A">
        <w:t xml:space="preserve"> </w:t>
      </w:r>
      <w:r w:rsidR="00E44261">
        <w:rPr>
          <w:b/>
          <w:sz w:val="24"/>
        </w:rPr>
        <w:t xml:space="preserve">Keywords: </w:t>
      </w:r>
      <w:r w:rsidR="00E44261" w:rsidRPr="00E44261">
        <w:rPr>
          <w:bCs/>
          <w:sz w:val="24"/>
        </w:rPr>
        <w:t>resilience, college</w:t>
      </w:r>
      <w:r w:rsidR="00E44261">
        <w:rPr>
          <w:bCs/>
          <w:sz w:val="24"/>
        </w:rPr>
        <w:t xml:space="preserve"> experience</w:t>
      </w:r>
      <w:r w:rsidR="003778D7">
        <w:rPr>
          <w:bCs/>
          <w:sz w:val="24"/>
        </w:rPr>
        <w:t>s</w:t>
      </w:r>
      <w:r w:rsidR="00E44261">
        <w:rPr>
          <w:bCs/>
          <w:sz w:val="24"/>
        </w:rPr>
        <w:t>, underrepresented students, mental health, anxiety</w:t>
      </w:r>
      <w:r w:rsidR="00297D84">
        <w:rPr>
          <w:bCs/>
          <w:sz w:val="24"/>
        </w:rPr>
        <w:t xml:space="preserve"> </w:t>
      </w:r>
    </w:p>
    <w:p w14:paraId="4C80219D" w14:textId="0FFB4671" w:rsidR="00DC2D06" w:rsidRPr="00257F7A" w:rsidRDefault="00DC2D06" w:rsidP="000C22E7">
      <w:pPr>
        <w:spacing w:line="480" w:lineRule="auto"/>
        <w:rPr>
          <w:lang w:eastAsia="en-GB"/>
        </w:rPr>
      </w:pPr>
    </w:p>
    <w:p w14:paraId="00F69FDC" w14:textId="458FF129" w:rsidR="00D619E0" w:rsidRDefault="00D619E0" w:rsidP="0049642C"/>
    <w:p w14:paraId="3E2383DE" w14:textId="535DC58D" w:rsidR="00FE027E" w:rsidRDefault="00FE027E" w:rsidP="0049642C"/>
    <w:p w14:paraId="4F708624" w14:textId="77777777" w:rsidR="00264038" w:rsidRDefault="00264038" w:rsidP="0049642C"/>
    <w:p w14:paraId="5ED8FBB2" w14:textId="77777777" w:rsidR="00297D84" w:rsidRPr="00257F7A" w:rsidRDefault="00297D84" w:rsidP="0049642C"/>
    <w:p w14:paraId="73202E1E" w14:textId="349629DD" w:rsidR="00B035FA" w:rsidRPr="00257F7A" w:rsidRDefault="00B035FA" w:rsidP="0049642C"/>
    <w:p w14:paraId="15387909" w14:textId="5D291FAC" w:rsidR="00E44261" w:rsidRPr="00257F7A" w:rsidRDefault="00E44261" w:rsidP="00A80AE9">
      <w:pPr>
        <w:pStyle w:val="Authornames"/>
        <w:spacing w:line="480" w:lineRule="auto"/>
        <w:jc w:val="center"/>
        <w:rPr>
          <w:b/>
          <w:sz w:val="24"/>
        </w:rPr>
      </w:pPr>
      <w:r>
        <w:rPr>
          <w:b/>
          <w:sz w:val="24"/>
        </w:rPr>
        <w:lastRenderedPageBreak/>
        <w:t>Introduction</w:t>
      </w:r>
    </w:p>
    <w:p w14:paraId="58088C99" w14:textId="328DEB34" w:rsidR="000D2045" w:rsidRPr="00257F7A" w:rsidRDefault="008B5EFB" w:rsidP="00A80AE9">
      <w:pPr>
        <w:spacing w:line="480" w:lineRule="auto"/>
        <w:ind w:firstLine="720"/>
      </w:pPr>
      <w:r w:rsidRPr="00257F7A">
        <w:t xml:space="preserve">The transition into and through college is accompanied by </w:t>
      </w:r>
      <w:r w:rsidR="000551E6" w:rsidRPr="00257F7A">
        <w:t>heightened academi</w:t>
      </w:r>
      <w:r w:rsidR="00302ECF">
        <w:t xml:space="preserve">c </w:t>
      </w:r>
      <w:r w:rsidR="00B469F6">
        <w:t>rigor</w:t>
      </w:r>
      <w:r w:rsidR="00C25BFD">
        <w:t>,</w:t>
      </w:r>
      <w:r w:rsidR="000551E6" w:rsidRPr="00257F7A">
        <w:t xml:space="preserve"> financial</w:t>
      </w:r>
      <w:r w:rsidR="00C25BFD">
        <w:t xml:space="preserve"> </w:t>
      </w:r>
      <w:r w:rsidR="00D27CAE">
        <w:t>concerns,</w:t>
      </w:r>
      <w:r w:rsidR="000551E6" w:rsidRPr="00257F7A">
        <w:t xml:space="preserve"> and other personal responsibilities, as well as </w:t>
      </w:r>
      <w:r w:rsidRPr="00257F7A">
        <w:t xml:space="preserve">significant changes to one’s social and physical environment. </w:t>
      </w:r>
      <w:r w:rsidR="00996FDE" w:rsidRPr="00257F7A">
        <w:t>College students today experienc</w:t>
      </w:r>
      <w:r w:rsidR="004B70CD">
        <w:t>e</w:t>
      </w:r>
      <w:r w:rsidR="00996FDE" w:rsidRPr="00257F7A">
        <w:t xml:space="preserve"> </w:t>
      </w:r>
      <w:r w:rsidR="003E214E" w:rsidRPr="00257F7A">
        <w:t>increased</w:t>
      </w:r>
      <w:r w:rsidR="00996FDE" w:rsidRPr="00257F7A">
        <w:t xml:space="preserve"> levels of stress</w:t>
      </w:r>
      <w:r w:rsidR="003A4134" w:rsidRPr="00257F7A">
        <w:t>, with</w:t>
      </w:r>
      <w:r w:rsidR="00996FDE" w:rsidRPr="00257F7A">
        <w:t xml:space="preserve"> anxiety</w:t>
      </w:r>
      <w:r w:rsidR="003A4134" w:rsidRPr="00257F7A">
        <w:t xml:space="preserve"> be</w:t>
      </w:r>
      <w:r w:rsidR="00E57F26">
        <w:t>ing</w:t>
      </w:r>
      <w:r w:rsidR="003A4134" w:rsidRPr="00257F7A">
        <w:t xml:space="preserve"> the most </w:t>
      </w:r>
      <w:r w:rsidR="003E1440">
        <w:t>prevalent</w:t>
      </w:r>
      <w:r w:rsidR="003E698F">
        <w:t xml:space="preserve"> </w:t>
      </w:r>
      <w:r w:rsidR="00B70AD4" w:rsidRPr="00257F7A">
        <w:t xml:space="preserve">mental health </w:t>
      </w:r>
      <w:r w:rsidR="003A4134" w:rsidRPr="00257F7A">
        <w:t xml:space="preserve">concern </w:t>
      </w:r>
      <w:r w:rsidR="003C28FE">
        <w:t>at</w:t>
      </w:r>
      <w:r w:rsidR="003A4134" w:rsidRPr="00257F7A">
        <w:t xml:space="preserve"> college counseling centers (</w:t>
      </w:r>
      <w:r w:rsidR="00E00841" w:rsidRPr="00257F7A">
        <w:t>Center for Collegiate Mental Health, 202</w:t>
      </w:r>
      <w:r w:rsidR="0020549B">
        <w:t>2</w:t>
      </w:r>
      <w:r w:rsidR="00E00841" w:rsidRPr="00257F7A">
        <w:t>)</w:t>
      </w:r>
      <w:r w:rsidR="00996FDE" w:rsidRPr="00257F7A">
        <w:t xml:space="preserve">. </w:t>
      </w:r>
      <w:r w:rsidR="00CB06E9" w:rsidRPr="00E06B72">
        <w:rPr>
          <w:highlight w:val="yellow"/>
        </w:rPr>
        <w:t xml:space="preserve">Levels of stress and anxiety </w:t>
      </w:r>
      <w:r w:rsidR="00E06B72">
        <w:rPr>
          <w:highlight w:val="yellow"/>
        </w:rPr>
        <w:t xml:space="preserve">among college students </w:t>
      </w:r>
      <w:r w:rsidR="00CB06E9" w:rsidRPr="00E06B72">
        <w:rPr>
          <w:highlight w:val="yellow"/>
        </w:rPr>
        <w:t>surged to alarming proportions during the COVID-19 pandemic (Wang et al., 2020).</w:t>
      </w:r>
      <w:r w:rsidR="00CB06E9">
        <w:t xml:space="preserve"> </w:t>
      </w:r>
      <w:r w:rsidR="00BF3DF7">
        <w:t>A</w:t>
      </w:r>
      <w:r w:rsidR="003E698F">
        <w:t xml:space="preserve"> recent </w:t>
      </w:r>
      <w:r w:rsidR="000C15CB" w:rsidRPr="00257F7A">
        <w:t>American College Health Association (ACHA)</w:t>
      </w:r>
      <w:r w:rsidR="00064817" w:rsidRPr="00257F7A">
        <w:t xml:space="preserve"> </w:t>
      </w:r>
      <w:r w:rsidR="00640C7B">
        <w:t xml:space="preserve">survey </w:t>
      </w:r>
      <w:r w:rsidR="006D79F3" w:rsidRPr="00257F7A">
        <w:t xml:space="preserve">found </w:t>
      </w:r>
      <w:r w:rsidR="00524FE1">
        <w:t xml:space="preserve">that </w:t>
      </w:r>
      <w:r w:rsidR="00E3541E">
        <w:t xml:space="preserve">a large percentage </w:t>
      </w:r>
      <w:r w:rsidR="004361E8" w:rsidRPr="00257F7A">
        <w:t xml:space="preserve">of college students </w:t>
      </w:r>
      <w:r w:rsidR="00524FE1">
        <w:t xml:space="preserve">reported </w:t>
      </w:r>
      <w:r w:rsidR="00E3541E">
        <w:t>moderate (</w:t>
      </w:r>
      <w:r w:rsidR="00AD5AD6">
        <w:t>51.7</w:t>
      </w:r>
      <w:r w:rsidR="00E3541E">
        <w:t xml:space="preserve">%) or </w:t>
      </w:r>
      <w:r w:rsidR="00AD5AD6">
        <w:t>serious</w:t>
      </w:r>
      <w:r w:rsidR="00E3541E">
        <w:t xml:space="preserve"> (2</w:t>
      </w:r>
      <w:r w:rsidR="00AD5AD6">
        <w:t>3.3</w:t>
      </w:r>
      <w:r w:rsidR="00E3541E">
        <w:t>%) level</w:t>
      </w:r>
      <w:r w:rsidR="00B842E2">
        <w:t>s</w:t>
      </w:r>
      <w:r w:rsidR="00E3541E">
        <w:t xml:space="preserve"> of </w:t>
      </w:r>
      <w:r w:rsidR="00AD5AD6">
        <w:t>di</w:t>
      </w:r>
      <w:r w:rsidR="00E3541E">
        <w:t>stress</w:t>
      </w:r>
      <w:r w:rsidR="00640C7B">
        <w:t xml:space="preserve">, </w:t>
      </w:r>
      <w:r w:rsidR="00524FE1">
        <w:t>and</w:t>
      </w:r>
      <w:r w:rsidR="00524FE1" w:rsidRPr="00257F7A">
        <w:t xml:space="preserve"> </w:t>
      </w:r>
      <w:r w:rsidR="003F5657" w:rsidRPr="00257F7A">
        <w:t>3</w:t>
      </w:r>
      <w:r w:rsidR="002C137C">
        <w:t>5</w:t>
      </w:r>
      <w:r w:rsidR="003F5657" w:rsidRPr="00257F7A">
        <w:t>.</w:t>
      </w:r>
      <w:r w:rsidR="002C137C">
        <w:t>1</w:t>
      </w:r>
      <w:r w:rsidR="003F5657" w:rsidRPr="00257F7A">
        <w:t>%</w:t>
      </w:r>
      <w:r w:rsidR="003E1440">
        <w:t xml:space="preserve"> </w:t>
      </w:r>
      <w:r w:rsidR="00524FE1">
        <w:t>were</w:t>
      </w:r>
      <w:r w:rsidR="00524FE1" w:rsidRPr="00257F7A">
        <w:t xml:space="preserve"> </w:t>
      </w:r>
      <w:r w:rsidR="004361E8" w:rsidRPr="00257F7A">
        <w:t xml:space="preserve">diagnosed or treated for </w:t>
      </w:r>
      <w:r w:rsidR="003F5657" w:rsidRPr="00257F7A">
        <w:t>anxiety</w:t>
      </w:r>
      <w:r w:rsidR="001B5011">
        <w:t xml:space="preserve"> in the last 12 months</w:t>
      </w:r>
      <w:r w:rsidR="004361E8" w:rsidRPr="00257F7A">
        <w:t xml:space="preserve"> </w:t>
      </w:r>
      <w:r w:rsidR="006D79F3" w:rsidRPr="00257F7A">
        <w:t>(</w:t>
      </w:r>
      <w:r w:rsidR="000C15CB" w:rsidRPr="00257F7A">
        <w:t>ACHA, 202</w:t>
      </w:r>
      <w:r w:rsidR="002C137C">
        <w:t>2</w:t>
      </w:r>
      <w:r w:rsidR="006D79F3" w:rsidRPr="00257F7A">
        <w:t>).</w:t>
      </w:r>
      <w:r w:rsidR="00996FDE" w:rsidRPr="00257F7A">
        <w:t xml:space="preserve"> </w:t>
      </w:r>
      <w:r w:rsidR="003778D7">
        <w:t>Individuals with anxiety disorders report a lower quality of life (Barrera &amp; Norton, 2009)</w:t>
      </w:r>
      <w:r w:rsidR="0070030D">
        <w:t>, poorer sleep quality (Ng et al., 202</w:t>
      </w:r>
      <w:r w:rsidR="000A4C23">
        <w:t>2</w:t>
      </w:r>
      <w:r w:rsidR="0070030D">
        <w:t>),</w:t>
      </w:r>
      <w:r w:rsidR="003778D7">
        <w:t xml:space="preserve"> and are more likely to drop out of college without obtaining a degree (Kessler et al., 1995). </w:t>
      </w:r>
      <w:r w:rsidR="00C43118">
        <w:t>These</w:t>
      </w:r>
      <w:r w:rsidR="00FF3F88" w:rsidRPr="00257F7A">
        <w:t xml:space="preserve"> </w:t>
      </w:r>
      <w:r w:rsidR="00C43118">
        <w:t>statistics</w:t>
      </w:r>
      <w:r w:rsidR="00FF3F88" w:rsidRPr="00257F7A">
        <w:t xml:space="preserve"> </w:t>
      </w:r>
      <w:r w:rsidR="001D0918">
        <w:t>s</w:t>
      </w:r>
      <w:r w:rsidR="00FF3F88" w:rsidRPr="00257F7A">
        <w:t xml:space="preserve">uggest a need for increased </w:t>
      </w:r>
      <w:r w:rsidR="001D0918">
        <w:t xml:space="preserve">campus </w:t>
      </w:r>
      <w:r w:rsidR="00FF3F88" w:rsidRPr="00257F7A">
        <w:t xml:space="preserve">resources to </w:t>
      </w:r>
      <w:r w:rsidR="005C5417">
        <w:t>address</w:t>
      </w:r>
      <w:r w:rsidR="00FF3F88" w:rsidRPr="00257F7A">
        <w:t xml:space="preserve"> </w:t>
      </w:r>
      <w:r w:rsidR="00C43118">
        <w:t xml:space="preserve">mental health </w:t>
      </w:r>
      <w:r w:rsidR="005C5417">
        <w:t xml:space="preserve">concerns </w:t>
      </w:r>
      <w:r w:rsidR="00C43118">
        <w:t>on college campuses</w:t>
      </w:r>
      <w:r w:rsidR="00FF3F88" w:rsidRPr="00257F7A">
        <w:t xml:space="preserve"> and prevent maladaptive coping behaviors (e.g., </w:t>
      </w:r>
      <w:r w:rsidR="00FF3F88">
        <w:t xml:space="preserve">behavioral disengagement, </w:t>
      </w:r>
      <w:r w:rsidR="00FF3F88" w:rsidRPr="00257F7A">
        <w:t>substance use, self-harming behaviors).</w:t>
      </w:r>
      <w:r w:rsidR="00FF3F88">
        <w:t xml:space="preserve"> Further</w:t>
      </w:r>
      <w:r w:rsidR="006C3F6E">
        <w:t xml:space="preserve">, </w:t>
      </w:r>
      <w:r w:rsidR="00FF3F88">
        <w:t xml:space="preserve">the </w:t>
      </w:r>
      <w:r w:rsidR="006C3F6E">
        <w:t>b</w:t>
      </w:r>
      <w:r w:rsidR="00B632DC">
        <w:t xml:space="preserve">enefits </w:t>
      </w:r>
      <w:r w:rsidR="005C5417">
        <w:t>of</w:t>
      </w:r>
      <w:r w:rsidR="00B632DC">
        <w:t xml:space="preserve"> reducing anxiety among college students extends </w:t>
      </w:r>
      <w:r w:rsidR="004709B8">
        <w:t xml:space="preserve">into </w:t>
      </w:r>
      <w:r w:rsidR="00B632DC">
        <w:t>later life</w:t>
      </w:r>
      <w:r w:rsidR="00583508">
        <w:t xml:space="preserve"> </w:t>
      </w:r>
      <w:r w:rsidR="00E32083">
        <w:t>by reducing the risk of</w:t>
      </w:r>
      <w:r w:rsidR="00D54EC9">
        <w:t xml:space="preserve"> developing chronic physical conditions </w:t>
      </w:r>
      <w:r w:rsidR="0050273D">
        <w:t xml:space="preserve">associated with </w:t>
      </w:r>
      <w:r w:rsidR="00056DF0">
        <w:t xml:space="preserve">stress and </w:t>
      </w:r>
      <w:r w:rsidR="0050273D">
        <w:t xml:space="preserve">anxiety </w:t>
      </w:r>
      <w:r w:rsidR="00D54EC9">
        <w:t>(Scott et al., 2016).</w:t>
      </w:r>
    </w:p>
    <w:p w14:paraId="6ACFBDCD" w14:textId="77777777" w:rsidR="0031062C" w:rsidRPr="00257F7A" w:rsidRDefault="0031062C" w:rsidP="0031062C">
      <w:pPr>
        <w:spacing w:line="480" w:lineRule="auto"/>
      </w:pPr>
      <w:r w:rsidRPr="00E44261">
        <w:rPr>
          <w:b/>
          <w:bCs/>
        </w:rPr>
        <w:t>Th</w:t>
      </w:r>
      <w:r>
        <w:rPr>
          <w:b/>
          <w:bCs/>
        </w:rPr>
        <w:t>e Mental Health of Underrepresented Students</w:t>
      </w:r>
      <w:r w:rsidRPr="00257F7A">
        <w:t xml:space="preserve"> </w:t>
      </w:r>
    </w:p>
    <w:p w14:paraId="1D1F65D6" w14:textId="4ED60391" w:rsidR="0031062C" w:rsidRDefault="00CF3676" w:rsidP="00D15EA9">
      <w:pPr>
        <w:widowControl w:val="0"/>
        <w:spacing w:line="480" w:lineRule="auto"/>
        <w:ind w:firstLine="720"/>
      </w:pPr>
      <w:r>
        <w:t xml:space="preserve">In addition to contending with their underrepresentation on college campuses, </w:t>
      </w:r>
      <w:r w:rsidR="007537A6">
        <w:t>u</w:t>
      </w:r>
      <w:r w:rsidR="00B34A4E" w:rsidRPr="00257F7A">
        <w:t xml:space="preserve">nderrepresented </w:t>
      </w:r>
      <w:r w:rsidR="00374CDE" w:rsidRPr="00257F7A">
        <w:t xml:space="preserve">college </w:t>
      </w:r>
      <w:r w:rsidR="00B34A4E" w:rsidRPr="00257F7A">
        <w:t xml:space="preserve">students </w:t>
      </w:r>
      <w:r w:rsidR="0031062C" w:rsidRPr="00257F7A">
        <w:t xml:space="preserve">(e.g., </w:t>
      </w:r>
      <w:r w:rsidR="00DE5FD5">
        <w:t xml:space="preserve">historically marginalized </w:t>
      </w:r>
      <w:r w:rsidR="0031062C" w:rsidRPr="00257F7A">
        <w:t xml:space="preserve">racial/ethnic </w:t>
      </w:r>
      <w:r w:rsidR="00DE5FD5">
        <w:t>groups</w:t>
      </w:r>
      <w:r w:rsidR="0031062C" w:rsidRPr="00257F7A">
        <w:t>, first-generation, lower socioeconomic status)</w:t>
      </w:r>
      <w:r w:rsidR="0031062C">
        <w:t xml:space="preserve"> </w:t>
      </w:r>
      <w:r w:rsidR="00B34A4E" w:rsidRPr="00257F7A">
        <w:t>often experience additional stressors and adjustment distress</w:t>
      </w:r>
      <w:r w:rsidR="007537A6">
        <w:t xml:space="preserve"> </w:t>
      </w:r>
      <w:r w:rsidR="00B34A4E" w:rsidRPr="00257F7A">
        <w:t>(House et al., 2020)</w:t>
      </w:r>
      <w:r w:rsidR="00FA093A" w:rsidRPr="00257F7A">
        <w:t xml:space="preserve"> </w:t>
      </w:r>
      <w:r w:rsidR="00FD3259">
        <w:t>and</w:t>
      </w:r>
      <w:r w:rsidR="00FD3259" w:rsidRPr="00257F7A">
        <w:t xml:space="preserve"> </w:t>
      </w:r>
      <w:r w:rsidR="003F0A4B" w:rsidRPr="00257F7A">
        <w:t>have</w:t>
      </w:r>
      <w:r w:rsidR="00C86F1E" w:rsidRPr="00257F7A">
        <w:t xml:space="preserve"> </w:t>
      </w:r>
      <w:r w:rsidR="00FA093A" w:rsidRPr="00257F7A">
        <w:t xml:space="preserve">a </w:t>
      </w:r>
      <w:r w:rsidR="00C86F1E" w:rsidRPr="00257F7A">
        <w:t>high</w:t>
      </w:r>
      <w:r w:rsidR="00FA093A" w:rsidRPr="00257F7A">
        <w:t>er</w:t>
      </w:r>
      <w:r w:rsidR="00C86F1E" w:rsidRPr="00257F7A">
        <w:t xml:space="preserve"> risk for develop</w:t>
      </w:r>
      <w:r w:rsidR="0076423C">
        <w:t>ing</w:t>
      </w:r>
      <w:r w:rsidR="00C86F1E" w:rsidRPr="00257F7A">
        <w:t xml:space="preserve"> and exacerbati</w:t>
      </w:r>
      <w:r w:rsidR="0076423C">
        <w:t>ng</w:t>
      </w:r>
      <w:r w:rsidR="00C86F1E" w:rsidRPr="00257F7A">
        <w:t xml:space="preserve"> mental health </w:t>
      </w:r>
      <w:r w:rsidR="0010206E" w:rsidRPr="00257F7A">
        <w:t>concerns</w:t>
      </w:r>
      <w:r w:rsidR="0066018D" w:rsidRPr="00257F7A">
        <w:t xml:space="preserve"> </w:t>
      </w:r>
      <w:r w:rsidR="00660694" w:rsidRPr="00257F7A">
        <w:t>(</w:t>
      </w:r>
      <w:proofErr w:type="spellStart"/>
      <w:r w:rsidR="00116F0F" w:rsidRPr="00257F7A">
        <w:t>Cokley</w:t>
      </w:r>
      <w:proofErr w:type="spellEnd"/>
      <w:r w:rsidR="00116F0F" w:rsidRPr="00257F7A">
        <w:t xml:space="preserve"> et al., 2013</w:t>
      </w:r>
      <w:r w:rsidR="0031062C">
        <w:t xml:space="preserve">; </w:t>
      </w:r>
      <w:r w:rsidR="0031062C" w:rsidRPr="00257F7A">
        <w:t>House et al., 2020; McDougal et al., 2018</w:t>
      </w:r>
      <w:r w:rsidR="00660694" w:rsidRPr="00257F7A">
        <w:t>)</w:t>
      </w:r>
      <w:r w:rsidR="0066018D" w:rsidRPr="00257F7A">
        <w:t xml:space="preserve">. </w:t>
      </w:r>
      <w:r w:rsidR="00990895" w:rsidRPr="00257F7A">
        <w:t xml:space="preserve">Many </w:t>
      </w:r>
      <w:r w:rsidR="00990895" w:rsidRPr="00257F7A">
        <w:lastRenderedPageBreak/>
        <w:t xml:space="preserve">underrepresented students also have jobs </w:t>
      </w:r>
      <w:r w:rsidR="00FA093A" w:rsidRPr="00257F7A">
        <w:t>and</w:t>
      </w:r>
      <w:r w:rsidR="00990895" w:rsidRPr="00257F7A">
        <w:t xml:space="preserve"> attempt to balance heavy academic loads with taxing work schedules</w:t>
      </w:r>
      <w:r w:rsidR="009E1210" w:rsidRPr="00257F7A">
        <w:t xml:space="preserve"> (Eichelberger et al., 2017)</w:t>
      </w:r>
      <w:r w:rsidR="00BF7ADF" w:rsidRPr="00257F7A">
        <w:t xml:space="preserve">. </w:t>
      </w:r>
      <w:r w:rsidR="00041009">
        <w:t>T</w:t>
      </w:r>
      <w:r w:rsidR="00BF7ADF" w:rsidRPr="00257F7A">
        <w:t xml:space="preserve">ypical college </w:t>
      </w:r>
      <w:r w:rsidR="002636FC" w:rsidRPr="00257F7A">
        <w:t xml:space="preserve">demands </w:t>
      </w:r>
      <w:r w:rsidR="00BF7ADF" w:rsidRPr="00257F7A">
        <w:t>combined with these</w:t>
      </w:r>
      <w:r w:rsidR="00E53EC0" w:rsidRPr="00257F7A">
        <w:t xml:space="preserve"> additional stressors </w:t>
      </w:r>
      <w:r w:rsidR="00BF7ADF" w:rsidRPr="00257F7A">
        <w:t xml:space="preserve">can </w:t>
      </w:r>
      <w:r w:rsidR="00E53EC0" w:rsidRPr="00257F7A">
        <w:t xml:space="preserve">have </w:t>
      </w:r>
      <w:r w:rsidR="00BF7ADF" w:rsidRPr="00257F7A">
        <w:t xml:space="preserve">a </w:t>
      </w:r>
      <w:r w:rsidR="00BD4E90" w:rsidRPr="00257F7A">
        <w:t xml:space="preserve">serious </w:t>
      </w:r>
      <w:r w:rsidR="00E53EC0" w:rsidRPr="00257F7A">
        <w:t>negative</w:t>
      </w:r>
      <w:r w:rsidR="007922EF" w:rsidRPr="00257F7A">
        <w:t xml:space="preserve"> impact </w:t>
      </w:r>
      <w:r w:rsidR="00E53EC0" w:rsidRPr="00257F7A">
        <w:t xml:space="preserve">on </w:t>
      </w:r>
      <w:r w:rsidR="008D28A4" w:rsidRPr="00257F7A">
        <w:t xml:space="preserve">underrepresented </w:t>
      </w:r>
      <w:r w:rsidR="00E53EC0" w:rsidRPr="00257F7A">
        <w:t xml:space="preserve">students’ </w:t>
      </w:r>
      <w:r w:rsidR="005C426C" w:rsidRPr="00257F7A">
        <w:t xml:space="preserve">mental health </w:t>
      </w:r>
      <w:r w:rsidR="00ED6224" w:rsidRPr="00257F7A">
        <w:t>(Billingsley &amp; Hurd, 2019</w:t>
      </w:r>
      <w:r w:rsidR="00A65A03" w:rsidRPr="00257F7A">
        <w:t xml:space="preserve">; </w:t>
      </w:r>
      <w:r w:rsidR="00ED6224" w:rsidRPr="00257F7A">
        <w:t>Hurd et al., 2018)</w:t>
      </w:r>
      <w:r w:rsidR="00C2123B" w:rsidRPr="00257F7A">
        <w:t xml:space="preserve">, particularly on large university campuses </w:t>
      </w:r>
      <w:r w:rsidR="003F0A4B" w:rsidRPr="00257F7A">
        <w:t>often</w:t>
      </w:r>
      <w:r w:rsidR="00C2123B" w:rsidRPr="00257F7A">
        <w:t xml:space="preserve"> characterized by high academic pressure, </w:t>
      </w:r>
      <w:r w:rsidR="00CC3B41" w:rsidRPr="00257F7A">
        <w:t>financial burden</w:t>
      </w:r>
      <w:r w:rsidR="00CC3B41">
        <w:t xml:space="preserve">, and </w:t>
      </w:r>
      <w:r w:rsidR="00C2123B" w:rsidRPr="00257F7A">
        <w:t>social isolation (</w:t>
      </w:r>
      <w:proofErr w:type="spellStart"/>
      <w:r w:rsidR="00C2123B" w:rsidRPr="00257F7A">
        <w:t>Kadison</w:t>
      </w:r>
      <w:proofErr w:type="spellEnd"/>
      <w:r w:rsidR="00C2123B" w:rsidRPr="00257F7A">
        <w:t xml:space="preserve"> &amp; </w:t>
      </w:r>
      <w:proofErr w:type="spellStart"/>
      <w:r w:rsidR="00C2123B" w:rsidRPr="00257F7A">
        <w:t>DiGeronimo</w:t>
      </w:r>
      <w:proofErr w:type="spellEnd"/>
      <w:r w:rsidR="00C2123B" w:rsidRPr="00257F7A">
        <w:t>, 2004</w:t>
      </w:r>
      <w:r w:rsidR="008D28A4">
        <w:t>; Lipson et al., 2018)</w:t>
      </w:r>
      <w:r w:rsidR="005C426C" w:rsidRPr="00257F7A">
        <w:t>.</w:t>
      </w:r>
      <w:r w:rsidR="007922EF" w:rsidRPr="00257F7A">
        <w:t xml:space="preserve"> </w:t>
      </w:r>
    </w:p>
    <w:p w14:paraId="25B9A34A" w14:textId="34F67D24" w:rsidR="0018711A" w:rsidRPr="00257F7A" w:rsidRDefault="0007418C" w:rsidP="0031062C">
      <w:pPr>
        <w:spacing w:line="480" w:lineRule="auto"/>
        <w:ind w:firstLine="720"/>
      </w:pPr>
      <w:r>
        <w:t>U</w:t>
      </w:r>
      <w:r w:rsidR="0031062C">
        <w:t xml:space="preserve">nderrepresented students </w:t>
      </w:r>
      <w:r w:rsidR="0031062C" w:rsidRPr="00257F7A">
        <w:t xml:space="preserve">are </w:t>
      </w:r>
      <w:r>
        <w:t xml:space="preserve">also </w:t>
      </w:r>
      <w:r w:rsidR="0031062C" w:rsidRPr="00257F7A">
        <w:t>less likely to use campus mental health and counseling services, even as the percentage of college students seeking help from these services (41</w:t>
      </w:r>
      <w:r w:rsidR="0031062C">
        <w:t>.2</w:t>
      </w:r>
      <w:r w:rsidR="0031062C" w:rsidRPr="00257F7A">
        <w:t xml:space="preserve">%) </w:t>
      </w:r>
      <w:r w:rsidR="0031062C">
        <w:t>remains high</w:t>
      </w:r>
      <w:r w:rsidR="0031062C" w:rsidRPr="00257F7A">
        <w:t xml:space="preserve"> (ACHA, 202</w:t>
      </w:r>
      <w:r w:rsidR="0031062C">
        <w:t>2</w:t>
      </w:r>
      <w:r w:rsidR="0031062C" w:rsidRPr="00257F7A">
        <w:t xml:space="preserve">). </w:t>
      </w:r>
      <w:r w:rsidR="0031062C">
        <w:t>The</w:t>
      </w:r>
      <w:r w:rsidR="0031062C" w:rsidRPr="00257F7A">
        <w:t xml:space="preserve"> lower utilization of mental health services</w:t>
      </w:r>
      <w:r w:rsidR="004008F1">
        <w:t xml:space="preserve">, </w:t>
      </w:r>
      <w:r w:rsidR="0031062C" w:rsidRPr="00257F7A">
        <w:t>partly due to factors such as a lack of culturally sensitive services,</w:t>
      </w:r>
      <w:r w:rsidR="0031062C">
        <w:t xml:space="preserve"> </w:t>
      </w:r>
      <w:r w:rsidR="0031062C" w:rsidRPr="00257F7A">
        <w:t>stigma</w:t>
      </w:r>
      <w:r w:rsidR="0031062C">
        <w:t>, and</w:t>
      </w:r>
      <w:r w:rsidR="0031062C" w:rsidRPr="00257F7A">
        <w:t xml:space="preserve"> perceived discrimination</w:t>
      </w:r>
      <w:r w:rsidR="005777FD">
        <w:t xml:space="preserve"> (</w:t>
      </w:r>
      <w:proofErr w:type="spellStart"/>
      <w:r w:rsidR="005777FD" w:rsidRPr="00257F7A">
        <w:t>Cokley</w:t>
      </w:r>
      <w:proofErr w:type="spellEnd"/>
      <w:r w:rsidR="005777FD" w:rsidRPr="00257F7A">
        <w:t xml:space="preserve"> et al., 2011</w:t>
      </w:r>
      <w:r w:rsidR="005777FD">
        <w:t>)</w:t>
      </w:r>
      <w:r w:rsidR="004008F1">
        <w:t xml:space="preserve">, </w:t>
      </w:r>
      <w:r w:rsidR="0076423C">
        <w:t>likely</w:t>
      </w:r>
      <w:r w:rsidR="0031062C" w:rsidRPr="00257F7A">
        <w:t xml:space="preserve"> contributes to an underdiagnosis of mental health concerns</w:t>
      </w:r>
      <w:r w:rsidR="00491691">
        <w:t xml:space="preserve"> and lower </w:t>
      </w:r>
      <w:r w:rsidR="00DD03A5">
        <w:t xml:space="preserve">use of </w:t>
      </w:r>
      <w:r w:rsidR="002B7D60">
        <w:t xml:space="preserve">therapy and </w:t>
      </w:r>
      <w:r w:rsidR="00491691">
        <w:t>medication among students of color</w:t>
      </w:r>
      <w:r w:rsidR="0031062C" w:rsidRPr="00257F7A">
        <w:t xml:space="preserve"> (</w:t>
      </w:r>
      <w:r w:rsidR="00491691">
        <w:t xml:space="preserve">Lipson et al., 2018; </w:t>
      </w:r>
      <w:r w:rsidR="0031062C" w:rsidRPr="00257F7A">
        <w:t>Liu et al., 201</w:t>
      </w:r>
      <w:r w:rsidR="0031062C">
        <w:t>9</w:t>
      </w:r>
      <w:r w:rsidR="0031062C" w:rsidRPr="00257F7A">
        <w:t>; Oswalt et al., 201</w:t>
      </w:r>
      <w:r w:rsidR="0031062C">
        <w:t>9</w:t>
      </w:r>
      <w:r w:rsidR="0031062C" w:rsidRPr="00257F7A">
        <w:t xml:space="preserve">). </w:t>
      </w:r>
      <w:r w:rsidR="00C336CF">
        <w:t>Further, u</w:t>
      </w:r>
      <w:r w:rsidR="00DA2F1E" w:rsidRPr="00257F7A">
        <w:t xml:space="preserve">nderrepresented students </w:t>
      </w:r>
      <w:r w:rsidR="00CF3676">
        <w:t>are less likely to</w:t>
      </w:r>
      <w:r w:rsidR="00CF3676" w:rsidRPr="00257F7A">
        <w:t xml:space="preserve"> </w:t>
      </w:r>
      <w:r w:rsidR="00EE52DA" w:rsidRPr="00257F7A">
        <w:t xml:space="preserve">seek and </w:t>
      </w:r>
      <w:r w:rsidR="005D723E" w:rsidRPr="00257F7A">
        <w:t>receive</w:t>
      </w:r>
      <w:r w:rsidR="0066018D" w:rsidRPr="00257F7A">
        <w:t xml:space="preserve"> guidance</w:t>
      </w:r>
      <w:r w:rsidR="003D1E45" w:rsidRPr="00257F7A">
        <w:t xml:space="preserve"> </w:t>
      </w:r>
      <w:r w:rsidR="00EE52DA" w:rsidRPr="00257F7A">
        <w:t xml:space="preserve">and strategies to </w:t>
      </w:r>
      <w:r w:rsidR="007922EF" w:rsidRPr="00257F7A">
        <w:t xml:space="preserve">become </w:t>
      </w:r>
      <w:r w:rsidR="00EE6808" w:rsidRPr="00257F7A">
        <w:t xml:space="preserve">academically </w:t>
      </w:r>
      <w:r w:rsidR="004215C5">
        <w:t xml:space="preserve">and socially </w:t>
      </w:r>
      <w:r w:rsidR="003D1E45" w:rsidRPr="00257F7A">
        <w:t>engage</w:t>
      </w:r>
      <w:r w:rsidR="007922EF" w:rsidRPr="00257F7A">
        <w:t>d</w:t>
      </w:r>
      <w:r w:rsidR="0066018D" w:rsidRPr="00257F7A">
        <w:t xml:space="preserve"> </w:t>
      </w:r>
      <w:r w:rsidR="007922EF" w:rsidRPr="00257F7A">
        <w:t>with</w:t>
      </w:r>
      <w:r w:rsidR="00346184" w:rsidRPr="00257F7A">
        <w:t xml:space="preserve"> their </w:t>
      </w:r>
      <w:r w:rsidR="00003BED" w:rsidRPr="00257F7A">
        <w:t>campus</w:t>
      </w:r>
      <w:r w:rsidR="00346184" w:rsidRPr="00257F7A">
        <w:t xml:space="preserve"> communities</w:t>
      </w:r>
      <w:r w:rsidR="00E4397C" w:rsidRPr="00257F7A">
        <w:t xml:space="preserve"> (</w:t>
      </w:r>
      <w:r w:rsidR="00E244E7" w:rsidRPr="00257F7A">
        <w:t>Hurd et al., 2018</w:t>
      </w:r>
      <w:r w:rsidR="00E4397C" w:rsidRPr="00257F7A">
        <w:t>)</w:t>
      </w:r>
      <w:r w:rsidR="0041620A" w:rsidRPr="00257F7A">
        <w:t xml:space="preserve">, </w:t>
      </w:r>
      <w:r w:rsidR="00AD1CB2">
        <w:t>putting</w:t>
      </w:r>
      <w:r w:rsidR="007C64C7" w:rsidRPr="00257F7A">
        <w:t xml:space="preserve"> them at a disadvantage </w:t>
      </w:r>
      <w:r w:rsidR="008272C3" w:rsidRPr="00257F7A">
        <w:t xml:space="preserve">and </w:t>
      </w:r>
      <w:r w:rsidR="00AD1CB2">
        <w:t>making</w:t>
      </w:r>
      <w:r w:rsidR="00AD1CB2" w:rsidRPr="00257F7A">
        <w:t xml:space="preserve"> </w:t>
      </w:r>
      <w:r w:rsidR="00B11930" w:rsidRPr="00257F7A">
        <w:t xml:space="preserve">them vulnerable </w:t>
      </w:r>
      <w:r w:rsidR="008272C3" w:rsidRPr="00257F7A">
        <w:t>to a range of mental health risks</w:t>
      </w:r>
      <w:r w:rsidR="00312A17" w:rsidRPr="00257F7A">
        <w:t xml:space="preserve"> (Fischer, 2007</w:t>
      </w:r>
      <w:r w:rsidR="00BA5661" w:rsidRPr="00257F7A">
        <w:t>;</w:t>
      </w:r>
      <w:r w:rsidR="00557B6D" w:rsidRPr="00257F7A">
        <w:t xml:space="preserve"> House et al., 2020</w:t>
      </w:r>
      <w:r w:rsidR="00312A17" w:rsidRPr="00257F7A">
        <w:t>)</w:t>
      </w:r>
      <w:r w:rsidR="004E668A" w:rsidRPr="00257F7A">
        <w:t>.</w:t>
      </w:r>
      <w:r w:rsidR="00D97BB7" w:rsidRPr="00257F7A">
        <w:t xml:space="preserve"> </w:t>
      </w:r>
    </w:p>
    <w:p w14:paraId="170162AA" w14:textId="08DD9A9D" w:rsidR="00D36A72" w:rsidRPr="00257F7A" w:rsidRDefault="00E44261" w:rsidP="00D36A72">
      <w:pPr>
        <w:widowControl w:val="0"/>
        <w:spacing w:line="480" w:lineRule="auto"/>
      </w:pPr>
      <w:r>
        <w:rPr>
          <w:b/>
          <w:bCs/>
        </w:rPr>
        <w:t xml:space="preserve">Resilience </w:t>
      </w:r>
      <w:r w:rsidR="00455CB6">
        <w:rPr>
          <w:b/>
          <w:bCs/>
        </w:rPr>
        <w:t>and</w:t>
      </w:r>
      <w:r>
        <w:rPr>
          <w:b/>
          <w:bCs/>
        </w:rPr>
        <w:t xml:space="preserve"> Mental Health</w:t>
      </w:r>
    </w:p>
    <w:p w14:paraId="05106CCF" w14:textId="1A3CAE00" w:rsidR="00A8715C" w:rsidRDefault="009025CF" w:rsidP="00D93237">
      <w:pPr>
        <w:widowControl w:val="0"/>
        <w:spacing w:line="480" w:lineRule="auto"/>
        <w:ind w:firstLine="720"/>
      </w:pPr>
      <w:r>
        <w:t>G</w:t>
      </w:r>
      <w:r w:rsidRPr="00257F7A">
        <w:t>reater resilience is associated with better</w:t>
      </w:r>
      <w:r w:rsidR="00B43DCD">
        <w:t xml:space="preserve"> </w:t>
      </w:r>
      <w:r w:rsidRPr="00257F7A">
        <w:t>outcomes in the wake of adversity or chronic stress (Southwick et al</w:t>
      </w:r>
      <w:r>
        <w:t>.</w:t>
      </w:r>
      <w:r w:rsidRPr="00257F7A">
        <w:t xml:space="preserve">, 2014; </w:t>
      </w:r>
      <w:proofErr w:type="spellStart"/>
      <w:r w:rsidRPr="00257F7A">
        <w:t>Schetter</w:t>
      </w:r>
      <w:proofErr w:type="spellEnd"/>
      <w:r w:rsidRPr="00257F7A">
        <w:t xml:space="preserve"> &amp; </w:t>
      </w:r>
      <w:proofErr w:type="spellStart"/>
      <w:r w:rsidRPr="00257F7A">
        <w:t>Dolbier</w:t>
      </w:r>
      <w:proofErr w:type="spellEnd"/>
      <w:r w:rsidRPr="00257F7A">
        <w:t>, 2011)</w:t>
      </w:r>
      <w:r>
        <w:t xml:space="preserve">. </w:t>
      </w:r>
      <w:r w:rsidR="00491C11" w:rsidRPr="00257F7A">
        <w:t xml:space="preserve">When faced with stressful situations, resilience promotes </w:t>
      </w:r>
      <w:r w:rsidR="005E5B66">
        <w:t xml:space="preserve">adaptive </w:t>
      </w:r>
      <w:r w:rsidR="00491C11" w:rsidRPr="00257F7A">
        <w:t xml:space="preserve">coping behaviors such as positive reframing and help-seeking strategies </w:t>
      </w:r>
      <w:r w:rsidR="00491C11">
        <w:t>that</w:t>
      </w:r>
      <w:r w:rsidR="00491C11" w:rsidRPr="00257F7A">
        <w:t xml:space="preserve"> are associated with heightened psychological well-being (</w:t>
      </w:r>
      <w:proofErr w:type="spellStart"/>
      <w:r w:rsidR="00491C11" w:rsidRPr="00257F7A">
        <w:t>Hartson</w:t>
      </w:r>
      <w:proofErr w:type="spellEnd"/>
      <w:r w:rsidR="00491C11" w:rsidRPr="00257F7A">
        <w:t xml:space="preserve"> et al</w:t>
      </w:r>
      <w:r w:rsidR="00491C11">
        <w:t>.</w:t>
      </w:r>
      <w:r w:rsidR="00491C11" w:rsidRPr="00257F7A">
        <w:t>, 2021).</w:t>
      </w:r>
      <w:r w:rsidR="00491C11">
        <w:t xml:space="preserve"> </w:t>
      </w:r>
      <w:r w:rsidR="00D93237">
        <w:t>S</w:t>
      </w:r>
      <w:r w:rsidR="00EC3A3C" w:rsidRPr="00257F7A">
        <w:t xml:space="preserve">tudents </w:t>
      </w:r>
      <w:r w:rsidR="008C3BF4">
        <w:t xml:space="preserve">reporting </w:t>
      </w:r>
      <w:r w:rsidR="00D93237">
        <w:t>greater</w:t>
      </w:r>
      <w:r w:rsidR="008C3BF4">
        <w:t xml:space="preserve"> resilience </w:t>
      </w:r>
      <w:r w:rsidR="00EC3A3C" w:rsidRPr="00257F7A">
        <w:t xml:space="preserve">believe in their ability to </w:t>
      </w:r>
      <w:r w:rsidR="008C3BF4">
        <w:t xml:space="preserve">successfully </w:t>
      </w:r>
      <w:r w:rsidR="00EC3A3C" w:rsidRPr="00257F7A">
        <w:t xml:space="preserve">adapt to </w:t>
      </w:r>
      <w:r w:rsidR="008C3BF4">
        <w:t>a</w:t>
      </w:r>
      <w:r w:rsidR="00EC3A3C" w:rsidRPr="00257F7A">
        <w:t xml:space="preserve"> constantly changing </w:t>
      </w:r>
      <w:r w:rsidR="0003149F">
        <w:t xml:space="preserve">environment </w:t>
      </w:r>
      <w:r w:rsidR="00EC3A3C" w:rsidRPr="00257F7A">
        <w:t xml:space="preserve">and </w:t>
      </w:r>
      <w:r w:rsidR="008C3BF4">
        <w:t xml:space="preserve">cope with the </w:t>
      </w:r>
      <w:r w:rsidR="005A39C3">
        <w:t>inev</w:t>
      </w:r>
      <w:r w:rsidR="00A8715C">
        <w:t>itable challenges</w:t>
      </w:r>
      <w:r w:rsidR="00EC3A3C" w:rsidRPr="00257F7A">
        <w:t xml:space="preserve"> of college life (Hartley, 2012). </w:t>
      </w:r>
      <w:r w:rsidR="00265813">
        <w:lastRenderedPageBreak/>
        <w:t xml:space="preserve">They persevere in the face of </w:t>
      </w:r>
      <w:r w:rsidR="00412DE2">
        <w:t>difficulty</w:t>
      </w:r>
      <w:r w:rsidR="00265813">
        <w:t xml:space="preserve"> and harness resources to sustain their well-being (Southwick et al., 2014).</w:t>
      </w:r>
    </w:p>
    <w:p w14:paraId="72C8F48E" w14:textId="39E6ADC9" w:rsidR="00216752" w:rsidRDefault="00CA69B9" w:rsidP="007B0192">
      <w:pPr>
        <w:widowControl w:val="0"/>
        <w:spacing w:line="480" w:lineRule="auto"/>
        <w:ind w:firstLine="720"/>
      </w:pPr>
      <w:r w:rsidRPr="00257F7A">
        <w:t xml:space="preserve">Although college students display varying levels of resilience, their ability to cope with adversity </w:t>
      </w:r>
      <w:r w:rsidR="008E6C77">
        <w:t>ha</w:t>
      </w:r>
      <w:r w:rsidR="00A8715C">
        <w:t>s</w:t>
      </w:r>
      <w:r w:rsidRPr="00257F7A">
        <w:t xml:space="preserve"> significant </w:t>
      </w:r>
      <w:r w:rsidR="0099679F" w:rsidRPr="00257F7A">
        <w:t>implication</w:t>
      </w:r>
      <w:r w:rsidR="008E6C77">
        <w:t>s</w:t>
      </w:r>
      <w:r w:rsidR="0099679F" w:rsidRPr="00257F7A">
        <w:t xml:space="preserve"> for</w:t>
      </w:r>
      <w:r w:rsidRPr="00257F7A">
        <w:t xml:space="preserve"> </w:t>
      </w:r>
      <w:r w:rsidR="008E6C77">
        <w:t xml:space="preserve">their </w:t>
      </w:r>
      <w:r w:rsidRPr="00257F7A">
        <w:t>mental health (Eisenberg et al</w:t>
      </w:r>
      <w:r w:rsidR="0065227C">
        <w:t>.</w:t>
      </w:r>
      <w:r w:rsidRPr="00257F7A">
        <w:t xml:space="preserve">, 2016). </w:t>
      </w:r>
      <w:r w:rsidR="00AD7179" w:rsidRPr="00257F7A">
        <w:t>Enhanced resilience is associated with a lower level of anxiety and depressi</w:t>
      </w:r>
      <w:r w:rsidR="00B8599D">
        <w:t>ve symptoms</w:t>
      </w:r>
      <w:r w:rsidR="00AD7179" w:rsidRPr="00257F7A">
        <w:t xml:space="preserve"> </w:t>
      </w:r>
      <w:r w:rsidR="00CC3B41" w:rsidRPr="00257F7A">
        <w:t xml:space="preserve">among college students </w:t>
      </w:r>
      <w:r w:rsidR="00AD7179" w:rsidRPr="00257F7A">
        <w:t>(Taylor et al., 2014; Wu et al., 2020)</w:t>
      </w:r>
      <w:r w:rsidR="0003149F">
        <w:t xml:space="preserve"> as well as</w:t>
      </w:r>
      <w:r w:rsidR="00AD7179">
        <w:t xml:space="preserve"> </w:t>
      </w:r>
      <w:r w:rsidR="00262087">
        <w:t xml:space="preserve">better </w:t>
      </w:r>
      <w:r w:rsidR="00AD7179" w:rsidRPr="00257F7A">
        <w:t>academic achievement (</w:t>
      </w:r>
      <w:proofErr w:type="spellStart"/>
      <w:r w:rsidR="00AD7179" w:rsidRPr="00257F7A">
        <w:t>DeRosier</w:t>
      </w:r>
      <w:proofErr w:type="spellEnd"/>
      <w:r w:rsidR="00AD7179" w:rsidRPr="00257F7A">
        <w:t xml:space="preserve"> et al., 2013; Johnson et al., 2015). </w:t>
      </w:r>
      <w:r w:rsidR="004A7542" w:rsidRPr="003E1846">
        <w:t>R</w:t>
      </w:r>
      <w:r w:rsidR="00692C73" w:rsidRPr="003E1846">
        <w:t>esilience and coping interventions with college students consistently enhance mental health (</w:t>
      </w:r>
      <w:proofErr w:type="spellStart"/>
      <w:r w:rsidR="005911AE" w:rsidRPr="003E1846">
        <w:t>Hartson</w:t>
      </w:r>
      <w:proofErr w:type="spellEnd"/>
      <w:r w:rsidR="005911AE" w:rsidRPr="003E1846">
        <w:t xml:space="preserve"> et al., 2021; </w:t>
      </w:r>
      <w:r w:rsidR="00692C73" w:rsidRPr="003E1846">
        <w:t xml:space="preserve">Houston et al., 2017; Steinhardt &amp; </w:t>
      </w:r>
      <w:proofErr w:type="spellStart"/>
      <w:r w:rsidR="00692C73" w:rsidRPr="003E1846">
        <w:t>Dolbier</w:t>
      </w:r>
      <w:proofErr w:type="spellEnd"/>
      <w:r w:rsidR="00692C73" w:rsidRPr="003E1846">
        <w:t>, 2008).</w:t>
      </w:r>
      <w:r w:rsidR="00B7002D" w:rsidRPr="00257F7A">
        <w:t xml:space="preserve"> </w:t>
      </w:r>
      <w:r w:rsidR="007C3E7F" w:rsidRPr="00257F7A">
        <w:t xml:space="preserve">Resilience is particularly important for underrepresented college students who </w:t>
      </w:r>
      <w:r w:rsidR="0051229A">
        <w:t xml:space="preserve">may </w:t>
      </w:r>
      <w:r w:rsidR="007C3E7F" w:rsidRPr="00257F7A">
        <w:t xml:space="preserve">experience </w:t>
      </w:r>
      <w:r w:rsidR="00DF4780">
        <w:t xml:space="preserve">additional </w:t>
      </w:r>
      <w:r w:rsidR="00A3661A" w:rsidRPr="00257F7A">
        <w:t>psychological distress due to</w:t>
      </w:r>
      <w:r w:rsidR="003054DC">
        <w:t xml:space="preserve"> marginalization,</w:t>
      </w:r>
      <w:r w:rsidR="007C3E7F" w:rsidRPr="00257F7A">
        <w:t xml:space="preserve"> </w:t>
      </w:r>
      <w:r w:rsidR="00C915BD" w:rsidRPr="00257F7A">
        <w:t>microaggressions</w:t>
      </w:r>
      <w:r w:rsidR="00C915BD">
        <w:t xml:space="preserve">, </w:t>
      </w:r>
      <w:r w:rsidR="001E4FFF">
        <w:t xml:space="preserve">and discrimination </w:t>
      </w:r>
      <w:r w:rsidR="007C3E7F" w:rsidRPr="00257F7A">
        <w:t xml:space="preserve">across various social and academic contexts (Albright &amp; Hurd, 2020). </w:t>
      </w:r>
    </w:p>
    <w:p w14:paraId="08B682A1" w14:textId="52E49B77" w:rsidR="001C4F08" w:rsidRDefault="00307015" w:rsidP="00216752">
      <w:pPr>
        <w:widowControl w:val="0"/>
        <w:spacing w:line="480" w:lineRule="auto"/>
        <w:ind w:firstLine="720"/>
      </w:pPr>
      <w:r>
        <w:t xml:space="preserve">Recent research </w:t>
      </w:r>
      <w:r w:rsidR="0070030D">
        <w:t>focused on mental health interventions among underrepresented college students i</w:t>
      </w:r>
      <w:r w:rsidR="00216752">
        <w:t>s promising</w:t>
      </w:r>
      <w:r w:rsidR="008405A8" w:rsidRPr="00257F7A">
        <w:t xml:space="preserve">. </w:t>
      </w:r>
      <w:r>
        <w:t>For example</w:t>
      </w:r>
      <w:r w:rsidR="00E37C33" w:rsidRPr="00257F7A">
        <w:t xml:space="preserve">, a strength-based resilience intervention for Black male college students, </w:t>
      </w:r>
      <w:r w:rsidR="00E37C33" w:rsidRPr="00257F7A">
        <w:rPr>
          <w:i/>
          <w:iCs/>
        </w:rPr>
        <w:t>Changing Minds, Changing Lives</w:t>
      </w:r>
      <w:r w:rsidR="00E37C33" w:rsidRPr="00257F7A">
        <w:t>, was associated with resilient adaptation</w:t>
      </w:r>
      <w:r w:rsidR="00056DF0">
        <w:t xml:space="preserve"> and growth</w:t>
      </w:r>
      <w:r w:rsidR="00E37C33" w:rsidRPr="00257F7A">
        <w:t>. The program focused on active coping, building strength, cognitive awareness, and social support</w:t>
      </w:r>
      <w:r w:rsidR="00024E71">
        <w:t>, and s</w:t>
      </w:r>
      <w:r w:rsidR="00E37C33" w:rsidRPr="00257F7A">
        <w:t>tudents who participated in the program emerged with new skills, enhanced feelings of connectedness to others, and a stronger sense of self (</w:t>
      </w:r>
      <w:proofErr w:type="spellStart"/>
      <w:r w:rsidR="00E37C33" w:rsidRPr="00257F7A">
        <w:t>Helling</w:t>
      </w:r>
      <w:proofErr w:type="spellEnd"/>
      <w:r w:rsidR="00E37C33" w:rsidRPr="00257F7A">
        <w:t xml:space="preserve"> &amp; Chandler, 2021).</w:t>
      </w:r>
      <w:r w:rsidR="00216752">
        <w:t xml:space="preserve"> </w:t>
      </w:r>
      <w:r w:rsidR="00095B5D">
        <w:t>P</w:t>
      </w:r>
      <w:r w:rsidR="00DB703A" w:rsidRPr="00257F7A">
        <w:t>ositive association</w:t>
      </w:r>
      <w:r w:rsidR="00AD7507">
        <w:t>s</w:t>
      </w:r>
      <w:r w:rsidR="00DB703A" w:rsidRPr="00257F7A">
        <w:t xml:space="preserve"> between resilience</w:t>
      </w:r>
      <w:r w:rsidR="007259D4" w:rsidRPr="00257F7A">
        <w:t xml:space="preserve"> </w:t>
      </w:r>
      <w:r w:rsidR="00142AC8" w:rsidRPr="00257F7A">
        <w:t xml:space="preserve">and psychological well-being </w:t>
      </w:r>
      <w:r w:rsidR="00095B5D">
        <w:t xml:space="preserve">were also reported </w:t>
      </w:r>
      <w:r w:rsidR="00DB703A" w:rsidRPr="00257F7A">
        <w:t xml:space="preserve">among undergraduate students attending a Historically Black University. </w:t>
      </w:r>
      <w:r w:rsidR="003F376A">
        <w:t>In this study, r</w:t>
      </w:r>
      <w:r w:rsidR="003F376A" w:rsidRPr="00257F7A">
        <w:t xml:space="preserve">esilience </w:t>
      </w:r>
      <w:r w:rsidR="00095B5D">
        <w:t xml:space="preserve">was </w:t>
      </w:r>
      <w:r w:rsidR="008E6DC3" w:rsidRPr="00257F7A">
        <w:t>conceptualized on</w:t>
      </w:r>
      <w:r w:rsidR="007259D4" w:rsidRPr="00257F7A">
        <w:t xml:space="preserve"> a continuum between flexibility</w:t>
      </w:r>
      <w:r w:rsidR="00F8779B">
        <w:t xml:space="preserve"> </w:t>
      </w:r>
      <w:r w:rsidR="00DE697C">
        <w:t xml:space="preserve">(i.e., </w:t>
      </w:r>
      <w:r w:rsidR="00587693">
        <w:t>expanding one’s perceived options in response to stress</w:t>
      </w:r>
      <w:r w:rsidR="00DE697C">
        <w:t>)</w:t>
      </w:r>
      <w:r w:rsidR="007259D4" w:rsidRPr="00257F7A">
        <w:t xml:space="preserve"> and reactivity</w:t>
      </w:r>
      <w:r w:rsidR="00F8779B">
        <w:t xml:space="preserve"> </w:t>
      </w:r>
      <w:r w:rsidR="00DE697C">
        <w:t>(i.e., c</w:t>
      </w:r>
      <w:r w:rsidR="003F30E2" w:rsidRPr="00257F7A">
        <w:t>onstrict</w:t>
      </w:r>
      <w:r w:rsidR="00587693">
        <w:t>ing</w:t>
      </w:r>
      <w:r w:rsidR="007259D4" w:rsidRPr="00257F7A">
        <w:t xml:space="preserve"> </w:t>
      </w:r>
      <w:r w:rsidR="00587693">
        <w:t>one’s</w:t>
      </w:r>
      <w:r w:rsidR="00587693" w:rsidRPr="00257F7A">
        <w:t xml:space="preserve"> </w:t>
      </w:r>
      <w:r w:rsidR="007259D4" w:rsidRPr="00257F7A">
        <w:t>option</w:t>
      </w:r>
      <w:r w:rsidR="001236BF" w:rsidRPr="00257F7A">
        <w:t>s</w:t>
      </w:r>
      <w:r w:rsidR="007259D4" w:rsidRPr="00257F7A">
        <w:t xml:space="preserve"> to stress</w:t>
      </w:r>
      <w:r w:rsidR="00DE697C">
        <w:t>)</w:t>
      </w:r>
      <w:r w:rsidR="00F8779B">
        <w:t>.</w:t>
      </w:r>
      <w:r w:rsidR="00587693">
        <w:t xml:space="preserve"> </w:t>
      </w:r>
      <w:r w:rsidR="00095B5D">
        <w:t>Results</w:t>
      </w:r>
      <w:r w:rsidR="003F30E2" w:rsidRPr="00257F7A">
        <w:t xml:space="preserve"> </w:t>
      </w:r>
      <w:r w:rsidR="00095B5D">
        <w:t>revealed</w:t>
      </w:r>
      <w:r w:rsidR="00095B5D" w:rsidRPr="00257F7A">
        <w:t xml:space="preserve"> </w:t>
      </w:r>
      <w:r w:rsidR="003F30E2" w:rsidRPr="00257F7A">
        <w:t xml:space="preserve">that </w:t>
      </w:r>
      <w:r w:rsidR="007C47BA" w:rsidRPr="00257F7A">
        <w:t>a student’s</w:t>
      </w:r>
      <w:r w:rsidR="003F30E2" w:rsidRPr="00257F7A">
        <w:t xml:space="preserve"> ability to be mindful and </w:t>
      </w:r>
      <w:r w:rsidR="0003675B" w:rsidRPr="00257F7A">
        <w:t xml:space="preserve">nonreactive </w:t>
      </w:r>
      <w:r w:rsidR="00CF4ADA" w:rsidRPr="00257F7A">
        <w:t>facilitated</w:t>
      </w:r>
      <w:r w:rsidR="0003675B" w:rsidRPr="00257F7A">
        <w:t xml:space="preserve"> </w:t>
      </w:r>
      <w:r w:rsidR="00142AC8" w:rsidRPr="00257F7A">
        <w:t>approach-coping strategies</w:t>
      </w:r>
      <w:r w:rsidR="003F18BD">
        <w:t>,</w:t>
      </w:r>
      <w:r w:rsidR="00142AC8" w:rsidRPr="00257F7A">
        <w:t xml:space="preserve"> </w:t>
      </w:r>
      <w:r w:rsidR="00CF4ADA" w:rsidRPr="00257F7A">
        <w:t xml:space="preserve">as opposed to avoidance-coping strategies, </w:t>
      </w:r>
      <w:r w:rsidR="00142AC8" w:rsidRPr="00257F7A">
        <w:t xml:space="preserve">which in turn reduced the burden of the stressor and </w:t>
      </w:r>
      <w:r w:rsidR="00142AC8" w:rsidRPr="00257F7A">
        <w:lastRenderedPageBreak/>
        <w:t>enabl</w:t>
      </w:r>
      <w:r w:rsidR="00F8779B">
        <w:t>ed</w:t>
      </w:r>
      <w:r w:rsidR="00142AC8" w:rsidRPr="00257F7A">
        <w:t xml:space="preserve"> a more positive</w:t>
      </w:r>
      <w:r w:rsidR="003F18BD">
        <w:t xml:space="preserve"> and</w:t>
      </w:r>
      <w:r w:rsidR="00142AC8" w:rsidRPr="00257F7A">
        <w:t xml:space="preserve"> adaptive response</w:t>
      </w:r>
      <w:r w:rsidR="00214D4F">
        <w:t xml:space="preserve"> when faced with adversity</w:t>
      </w:r>
      <w:r w:rsidR="00F8779B">
        <w:t xml:space="preserve"> </w:t>
      </w:r>
      <w:r w:rsidR="00F8779B" w:rsidRPr="00257F7A">
        <w:t>(</w:t>
      </w:r>
      <w:proofErr w:type="spellStart"/>
      <w:r w:rsidR="00723449" w:rsidRPr="00257F7A">
        <w:t>Freligh</w:t>
      </w:r>
      <w:proofErr w:type="spellEnd"/>
      <w:r w:rsidR="00723449" w:rsidRPr="00257F7A">
        <w:t xml:space="preserve"> &amp; Debb, 2019</w:t>
      </w:r>
      <w:r w:rsidR="00F8779B" w:rsidRPr="00257F7A">
        <w:t>)</w:t>
      </w:r>
      <w:r w:rsidR="00CF4ADA" w:rsidRPr="00257F7A">
        <w:t>. This capacity to successfully adapt to the challenges of college life reinforces a positive habitual reaction of resilience</w:t>
      </w:r>
      <w:r w:rsidR="006D6C49" w:rsidRPr="00257F7A">
        <w:t xml:space="preserve"> which mitigates the negative impact of stress on mental health among underrepresented college students</w:t>
      </w:r>
      <w:r w:rsidR="001C3787" w:rsidRPr="00257F7A">
        <w:t xml:space="preserve">. </w:t>
      </w:r>
    </w:p>
    <w:p w14:paraId="74574BF0" w14:textId="6864AED8" w:rsidR="00B21585" w:rsidRPr="00257F7A" w:rsidRDefault="00E44261" w:rsidP="00B21585">
      <w:pPr>
        <w:widowControl w:val="0"/>
        <w:spacing w:line="480" w:lineRule="auto"/>
      </w:pPr>
      <w:r>
        <w:rPr>
          <w:b/>
          <w:bCs/>
        </w:rPr>
        <w:t xml:space="preserve">The Utility of </w:t>
      </w:r>
      <w:r w:rsidR="004B544C">
        <w:rPr>
          <w:b/>
          <w:bCs/>
        </w:rPr>
        <w:t xml:space="preserve">Positive </w:t>
      </w:r>
      <w:r>
        <w:rPr>
          <w:b/>
          <w:bCs/>
        </w:rPr>
        <w:t xml:space="preserve">College Experiences </w:t>
      </w:r>
    </w:p>
    <w:p w14:paraId="4598166F" w14:textId="20FB2A6B" w:rsidR="000E0D3D" w:rsidRPr="00257F7A" w:rsidRDefault="007B0192" w:rsidP="000E0D3D">
      <w:pPr>
        <w:spacing w:line="480" w:lineRule="auto"/>
        <w:ind w:firstLine="720"/>
      </w:pPr>
      <w:r>
        <w:t>Positive college experiences promote better</w:t>
      </w:r>
      <w:r w:rsidRPr="00257F7A">
        <w:t xml:space="preserve"> adjustment and adaptation which can contribute to </w:t>
      </w:r>
      <w:r>
        <w:t>enhanced mental health (</w:t>
      </w:r>
      <w:r w:rsidRPr="00257F7A">
        <w:t xml:space="preserve">Leary &amp; </w:t>
      </w:r>
      <w:proofErr w:type="spellStart"/>
      <w:r w:rsidRPr="00257F7A">
        <w:t>DeRosier</w:t>
      </w:r>
      <w:proofErr w:type="spellEnd"/>
      <w:r w:rsidRPr="00257F7A">
        <w:t>, 2012</w:t>
      </w:r>
      <w:r>
        <w:t>)</w:t>
      </w:r>
      <w:r w:rsidRPr="00257F7A">
        <w:t xml:space="preserve">. </w:t>
      </w:r>
      <w:r w:rsidR="000E0D3D" w:rsidRPr="00257F7A">
        <w:t>Gallup</w:t>
      </w:r>
      <w:r w:rsidR="006E3DCA">
        <w:t>’s “Big Six” measure of</w:t>
      </w:r>
      <w:r w:rsidR="009777A5">
        <w:t xml:space="preserve"> </w:t>
      </w:r>
      <w:r w:rsidR="00652F10">
        <w:t xml:space="preserve">positive </w:t>
      </w:r>
      <w:r w:rsidR="000E0D3D" w:rsidRPr="00257F7A">
        <w:t>college experiences</w:t>
      </w:r>
      <w:r w:rsidR="00B8599D">
        <w:t xml:space="preserve"> </w:t>
      </w:r>
      <w:r w:rsidR="00B8599D">
        <w:rPr>
          <w:iCs/>
        </w:rPr>
        <w:t>(</w:t>
      </w:r>
      <w:r w:rsidR="00B8599D" w:rsidRPr="00257F7A">
        <w:rPr>
          <w:bCs/>
          <w:color w:val="000000"/>
        </w:rPr>
        <w:t>Gallup-Purdue Index, 2014</w:t>
      </w:r>
      <w:r w:rsidR="00B8599D" w:rsidRPr="00257F7A">
        <w:t>)</w:t>
      </w:r>
      <w:r w:rsidR="00B8599D">
        <w:t xml:space="preserve">, which assesses perceived </w:t>
      </w:r>
      <w:r w:rsidR="00BF3EAB">
        <w:t>s</w:t>
      </w:r>
      <w:r w:rsidR="00BF3EAB" w:rsidRPr="000139CF">
        <w:rPr>
          <w:iCs/>
        </w:rPr>
        <w:t>upport from faculty</w:t>
      </w:r>
      <w:r w:rsidR="00BF3EAB">
        <w:rPr>
          <w:iCs/>
        </w:rPr>
        <w:t xml:space="preserve"> and </w:t>
      </w:r>
      <w:r w:rsidR="006E3DCA" w:rsidRPr="000139CF">
        <w:rPr>
          <w:iCs/>
        </w:rPr>
        <w:t>experiential learning</w:t>
      </w:r>
      <w:r w:rsidR="00B8599D">
        <w:t xml:space="preserve">, </w:t>
      </w:r>
      <w:r w:rsidR="000E0D3D" w:rsidRPr="00257F7A">
        <w:t xml:space="preserve">has </w:t>
      </w:r>
      <w:r w:rsidR="00C741F5">
        <w:t xml:space="preserve">received significant attention </w:t>
      </w:r>
      <w:r w:rsidR="00622B51">
        <w:t xml:space="preserve">given </w:t>
      </w:r>
      <w:r w:rsidR="001D10F2">
        <w:t>its</w:t>
      </w:r>
      <w:r w:rsidR="00FB1941">
        <w:t xml:space="preserve"> </w:t>
      </w:r>
      <w:r w:rsidR="00622B51">
        <w:t xml:space="preserve">positive association </w:t>
      </w:r>
      <w:r w:rsidR="001D10F2">
        <w:t>with</w:t>
      </w:r>
      <w:r w:rsidR="000E0D3D" w:rsidRPr="00257F7A">
        <w:t xml:space="preserve"> well-being, </w:t>
      </w:r>
      <w:r w:rsidR="005000CF">
        <w:t xml:space="preserve">life preparedness, </w:t>
      </w:r>
      <w:r w:rsidR="000E0D3D" w:rsidRPr="00257F7A">
        <w:t>job success, and job satisfaction among college graduates (</w:t>
      </w:r>
      <w:r w:rsidR="00116B05" w:rsidRPr="00257F7A">
        <w:t>Crabtree, 2019</w:t>
      </w:r>
      <w:r w:rsidR="005000CF">
        <w:rPr>
          <w:iCs/>
        </w:rPr>
        <w:t>; Seymour &amp; Lopez, 2015)</w:t>
      </w:r>
      <w:r w:rsidR="000E0D3D" w:rsidRPr="00257F7A">
        <w:t xml:space="preserve">. </w:t>
      </w:r>
      <w:r w:rsidR="0004099B">
        <w:t>College graduates</w:t>
      </w:r>
      <w:r w:rsidR="000E0D3D" w:rsidRPr="00257F7A">
        <w:t xml:space="preserve"> who </w:t>
      </w:r>
      <w:r w:rsidR="000E0D3D">
        <w:t>report</w:t>
      </w:r>
      <w:r w:rsidR="00960170">
        <w:t>ed</w:t>
      </w:r>
      <w:r w:rsidR="000E0D3D">
        <w:t xml:space="preserve"> </w:t>
      </w:r>
      <w:r w:rsidR="00B86A70">
        <w:t>greater</w:t>
      </w:r>
      <w:r w:rsidR="000E0D3D">
        <w:t xml:space="preserve"> academic and social integration</w:t>
      </w:r>
      <w:r w:rsidR="000E0D3D" w:rsidRPr="00257F7A">
        <w:t xml:space="preserve"> with their campus communities</w:t>
      </w:r>
      <w:r w:rsidR="000E0D3D">
        <w:t xml:space="preserve"> </w:t>
      </w:r>
      <w:r w:rsidR="00960170">
        <w:t>were</w:t>
      </w:r>
      <w:r w:rsidR="000E0D3D">
        <w:t xml:space="preserve"> </w:t>
      </w:r>
      <w:r w:rsidR="000E0D3D" w:rsidRPr="00257F7A">
        <w:t xml:space="preserve">more engaged </w:t>
      </w:r>
      <w:r w:rsidR="00D54EB3">
        <w:t>at</w:t>
      </w:r>
      <w:r w:rsidR="000E0D3D" w:rsidRPr="00257F7A">
        <w:t xml:space="preserve"> work </w:t>
      </w:r>
      <w:r w:rsidR="00D54EB3" w:rsidRPr="00257F7A">
        <w:t xml:space="preserve">after college </w:t>
      </w:r>
      <w:r w:rsidR="000E0D3D" w:rsidRPr="00257F7A">
        <w:t>and thriving in career, social, financial, physical, and community</w:t>
      </w:r>
      <w:r w:rsidR="003315C4">
        <w:t xml:space="preserve"> well-being</w:t>
      </w:r>
      <w:r w:rsidR="00D54EB3">
        <w:t xml:space="preserve"> </w:t>
      </w:r>
      <w:r w:rsidR="000E0D3D" w:rsidRPr="00257F7A">
        <w:t xml:space="preserve">(Busteed &amp; </w:t>
      </w:r>
      <w:proofErr w:type="spellStart"/>
      <w:r w:rsidR="000E0D3D" w:rsidRPr="00257F7A">
        <w:t>Auter</w:t>
      </w:r>
      <w:proofErr w:type="spellEnd"/>
      <w:r w:rsidR="000E0D3D" w:rsidRPr="00257F7A">
        <w:t xml:space="preserve">, 2018). </w:t>
      </w:r>
      <w:r w:rsidR="00C61998">
        <w:t>More s</w:t>
      </w:r>
      <w:r w:rsidR="000E0D3D" w:rsidRPr="00257F7A">
        <w:t xml:space="preserve">pecifically, </w:t>
      </w:r>
      <w:r w:rsidR="00C61998">
        <w:t>college graduates</w:t>
      </w:r>
      <w:r w:rsidR="000E0D3D" w:rsidRPr="00257F7A">
        <w:t xml:space="preserve"> who reported receiving support from faculty </w:t>
      </w:r>
      <w:r w:rsidR="000E0D3D">
        <w:t>and participat</w:t>
      </w:r>
      <w:r w:rsidR="003842AA">
        <w:t>ing</w:t>
      </w:r>
      <w:r w:rsidR="000E0D3D">
        <w:t xml:space="preserve"> in </w:t>
      </w:r>
      <w:r w:rsidR="000E0D3D" w:rsidRPr="00257F7A">
        <w:t>experiential learning</w:t>
      </w:r>
      <w:r w:rsidR="000E0D3D">
        <w:t xml:space="preserve"> had</w:t>
      </w:r>
      <w:r w:rsidR="000E0D3D" w:rsidRPr="00257F7A">
        <w:t xml:space="preserve"> 1.9</w:t>
      </w:r>
      <w:r w:rsidR="00C0471C">
        <w:t>-</w:t>
      </w:r>
      <w:r w:rsidR="000E0D3D" w:rsidRPr="00257F7A">
        <w:t xml:space="preserve"> </w:t>
      </w:r>
      <w:r w:rsidR="000E0D3D">
        <w:t>and</w:t>
      </w:r>
      <w:r w:rsidR="000E0D3D" w:rsidRPr="00257F7A">
        <w:t xml:space="preserve"> 1.3</w:t>
      </w:r>
      <w:r w:rsidR="00C0471C">
        <w:t>-</w:t>
      </w:r>
      <w:r w:rsidR="000E0D3D" w:rsidRPr="00257F7A">
        <w:t xml:space="preserve">times </w:t>
      </w:r>
      <w:r w:rsidR="000E0D3D">
        <w:t xml:space="preserve">greater </w:t>
      </w:r>
      <w:r w:rsidR="000E0D3D" w:rsidRPr="00257F7A">
        <w:t>odds of thriving in well-being</w:t>
      </w:r>
      <w:r w:rsidR="000E0D3D">
        <w:t xml:space="preserve">, respectively </w:t>
      </w:r>
      <w:r w:rsidR="000E0D3D" w:rsidRPr="00257F7A">
        <w:t xml:space="preserve">(Ray &amp; </w:t>
      </w:r>
      <w:proofErr w:type="spellStart"/>
      <w:r w:rsidR="000E0D3D" w:rsidRPr="00257F7A">
        <w:t>Marken</w:t>
      </w:r>
      <w:proofErr w:type="spellEnd"/>
      <w:r w:rsidR="000E0D3D" w:rsidRPr="00257F7A">
        <w:t xml:space="preserve">, 2014). </w:t>
      </w:r>
    </w:p>
    <w:p w14:paraId="21ADCF6D" w14:textId="1003378C" w:rsidR="00B67496" w:rsidRDefault="00095A78" w:rsidP="0087229C">
      <w:pPr>
        <w:spacing w:line="480" w:lineRule="auto"/>
        <w:ind w:firstLine="720"/>
      </w:pPr>
      <w:r>
        <w:t>Institutional support such as p</w:t>
      </w:r>
      <w:r w:rsidR="0087229C">
        <w:t>ositive e</w:t>
      </w:r>
      <w:r w:rsidR="0087229C" w:rsidRPr="00257F7A">
        <w:t xml:space="preserve">ncouragement provided by faculty </w:t>
      </w:r>
      <w:r w:rsidR="00C82B0E">
        <w:t>and</w:t>
      </w:r>
      <w:r w:rsidR="0087229C">
        <w:t xml:space="preserve"> opportunities to </w:t>
      </w:r>
      <w:r w:rsidR="008F1106">
        <w:t>participate</w:t>
      </w:r>
      <w:r w:rsidR="0087229C">
        <w:t xml:space="preserve"> in faculty research, long-term academic projects</w:t>
      </w:r>
      <w:r w:rsidR="00C82B0E">
        <w:t>, and experiential academic internships</w:t>
      </w:r>
      <w:r w:rsidR="0087229C">
        <w:t xml:space="preserve"> </w:t>
      </w:r>
      <w:r w:rsidR="0087229C" w:rsidRPr="00257F7A">
        <w:t xml:space="preserve">can help </w:t>
      </w:r>
      <w:r w:rsidR="00E92BD2">
        <w:t xml:space="preserve">currently enrolled college </w:t>
      </w:r>
      <w:r w:rsidR="0087229C">
        <w:t xml:space="preserve">students </w:t>
      </w:r>
      <w:r w:rsidR="0087229C" w:rsidRPr="00257F7A">
        <w:t xml:space="preserve">navigate </w:t>
      </w:r>
      <w:r w:rsidR="0087229C">
        <w:t xml:space="preserve">a </w:t>
      </w:r>
      <w:r w:rsidR="0087229C" w:rsidRPr="00257F7A">
        <w:t>challenging college environment (Greeson, 2013; Morrison &amp; Allen, 2007)</w:t>
      </w:r>
      <w:r w:rsidR="0087229C">
        <w:t xml:space="preserve"> and reduce symptoms of anxiety (</w:t>
      </w:r>
      <w:r w:rsidR="0087229C" w:rsidRPr="00257F7A">
        <w:t xml:space="preserve">Leary &amp; </w:t>
      </w:r>
      <w:proofErr w:type="spellStart"/>
      <w:r w:rsidR="0087229C" w:rsidRPr="00257F7A">
        <w:t>DeRosier</w:t>
      </w:r>
      <w:proofErr w:type="spellEnd"/>
      <w:r w:rsidR="0087229C" w:rsidRPr="00257F7A">
        <w:t>, 2012</w:t>
      </w:r>
      <w:r w:rsidR="0087229C">
        <w:t xml:space="preserve">). </w:t>
      </w:r>
      <w:r w:rsidR="00AE03A5">
        <w:t>Positive c</w:t>
      </w:r>
      <w:r w:rsidR="00095B21" w:rsidRPr="00257F7A">
        <w:t>ollege experience</w:t>
      </w:r>
      <w:r w:rsidR="008F4928" w:rsidRPr="00257F7A">
        <w:t>s</w:t>
      </w:r>
      <w:r w:rsidR="00095B21" w:rsidRPr="00257F7A">
        <w:t xml:space="preserve"> </w:t>
      </w:r>
      <w:r w:rsidR="008F4928" w:rsidRPr="00257F7A">
        <w:t>are</w:t>
      </w:r>
      <w:r w:rsidR="00CE6B3A" w:rsidRPr="00257F7A">
        <w:t xml:space="preserve"> </w:t>
      </w:r>
      <w:r w:rsidR="00A5102B" w:rsidRPr="00257F7A">
        <w:t>associated with better</w:t>
      </w:r>
      <w:r w:rsidR="00095B21" w:rsidRPr="00257F7A">
        <w:t xml:space="preserve"> psychological </w:t>
      </w:r>
      <w:r w:rsidR="00A5102B" w:rsidRPr="00257F7A">
        <w:t xml:space="preserve">outcomes </w:t>
      </w:r>
      <w:r w:rsidR="00AE03A5">
        <w:t>(</w:t>
      </w:r>
      <w:r w:rsidR="00882325">
        <w:t xml:space="preserve">Hanson et al., 2016; </w:t>
      </w:r>
      <w:proofErr w:type="spellStart"/>
      <w:r w:rsidR="00F66432">
        <w:t>Maymon</w:t>
      </w:r>
      <w:proofErr w:type="spellEnd"/>
      <w:r w:rsidR="00F66432">
        <w:t xml:space="preserve"> et al., 2019</w:t>
      </w:r>
      <w:r w:rsidR="00882325">
        <w:t>)</w:t>
      </w:r>
      <w:r w:rsidR="008F1106">
        <w:t xml:space="preserve"> and </w:t>
      </w:r>
      <w:r w:rsidR="00263F79">
        <w:t>play an influential role in</w:t>
      </w:r>
      <w:r w:rsidR="00D57C80" w:rsidRPr="00257F7A">
        <w:t xml:space="preserve"> student</w:t>
      </w:r>
      <w:r w:rsidR="003E00EA">
        <w:t>s</w:t>
      </w:r>
      <w:r w:rsidR="00D57C80" w:rsidRPr="00257F7A">
        <w:t xml:space="preserve">’ </w:t>
      </w:r>
      <w:r w:rsidR="00263F79">
        <w:t xml:space="preserve">persistence and </w:t>
      </w:r>
      <w:r w:rsidR="00D57C80" w:rsidRPr="00257F7A">
        <w:t xml:space="preserve">ability to adapt and adjust (Leary &amp; </w:t>
      </w:r>
      <w:proofErr w:type="spellStart"/>
      <w:r w:rsidR="00D57C80" w:rsidRPr="00257F7A">
        <w:t>DeRosier</w:t>
      </w:r>
      <w:proofErr w:type="spellEnd"/>
      <w:r w:rsidR="00D57C80" w:rsidRPr="00257F7A">
        <w:t>, 2012)</w:t>
      </w:r>
      <w:r w:rsidR="00A66F17">
        <w:t xml:space="preserve">. </w:t>
      </w:r>
      <w:r w:rsidR="00B67496" w:rsidRPr="00B67496">
        <w:rPr>
          <w:highlight w:val="yellow"/>
        </w:rPr>
        <w:t xml:space="preserve">Positive college </w:t>
      </w:r>
      <w:r w:rsidR="00B67496" w:rsidRPr="00B67496">
        <w:rPr>
          <w:highlight w:val="yellow"/>
        </w:rPr>
        <w:lastRenderedPageBreak/>
        <w:t xml:space="preserve">experiences are particularly important for underrepresented students who often have challenges finding resources and support systems on campus. </w:t>
      </w:r>
      <w:r w:rsidR="00B67496" w:rsidRPr="004A3DA8">
        <w:t>Several programs (e.g., financial aid, summer internships, TRIO Programs, McNair Scholars Program) help underrepresented students increase access to educational opportunities and complete their degrees (</w:t>
      </w:r>
      <w:proofErr w:type="spellStart"/>
      <w:r w:rsidR="00B67496" w:rsidRPr="004A3DA8">
        <w:t>Renbarger</w:t>
      </w:r>
      <w:proofErr w:type="spellEnd"/>
      <w:r w:rsidR="00B67496" w:rsidRPr="004A3DA8">
        <w:t xml:space="preserve">, 2019; </w:t>
      </w:r>
      <w:proofErr w:type="spellStart"/>
      <w:r w:rsidR="00B67496" w:rsidRPr="004A3DA8">
        <w:t>Renbarger</w:t>
      </w:r>
      <w:proofErr w:type="spellEnd"/>
      <w:r w:rsidR="00B67496" w:rsidRPr="004A3DA8">
        <w:t xml:space="preserve"> &amp; Long, 2019). </w:t>
      </w:r>
      <w:r w:rsidR="00B67496" w:rsidRPr="00B67496">
        <w:rPr>
          <w:highlight w:val="yellow"/>
        </w:rPr>
        <w:t xml:space="preserve">Yet, </w:t>
      </w:r>
      <w:r w:rsidR="00687A19" w:rsidRPr="004A3DA8">
        <w:rPr>
          <w:highlight w:val="yellow"/>
        </w:rPr>
        <w:t>a large national dataset found that compared to White students, students of Color experience a more negative campus climate (Koo, 2021)</w:t>
      </w:r>
      <w:r w:rsidR="004A3DA8" w:rsidRPr="00B67496">
        <w:rPr>
          <w:highlight w:val="yellow"/>
        </w:rPr>
        <w:t>.</w:t>
      </w:r>
    </w:p>
    <w:p w14:paraId="76FEB834" w14:textId="7CF490B0" w:rsidR="00FF4202" w:rsidRDefault="00CD2B09" w:rsidP="009D646A">
      <w:pPr>
        <w:spacing w:line="480" w:lineRule="auto"/>
        <w:ind w:firstLine="720"/>
        <w:rPr>
          <w:highlight w:val="yellow"/>
        </w:rPr>
      </w:pPr>
      <w:r>
        <w:rPr>
          <w:highlight w:val="yellow"/>
        </w:rPr>
        <w:t>T</w:t>
      </w:r>
      <w:r w:rsidR="006E1961">
        <w:rPr>
          <w:highlight w:val="yellow"/>
        </w:rPr>
        <w:t>he stereotype inoculation model</w:t>
      </w:r>
      <w:r>
        <w:rPr>
          <w:highlight w:val="yellow"/>
        </w:rPr>
        <w:t xml:space="preserve"> (</w:t>
      </w:r>
      <w:proofErr w:type="spellStart"/>
      <w:r w:rsidR="006E1961">
        <w:rPr>
          <w:highlight w:val="yellow"/>
        </w:rPr>
        <w:t>Thiem</w:t>
      </w:r>
      <w:proofErr w:type="spellEnd"/>
      <w:r w:rsidR="006E1961">
        <w:rPr>
          <w:highlight w:val="yellow"/>
        </w:rPr>
        <w:t xml:space="preserve"> </w:t>
      </w:r>
      <w:r w:rsidR="00EA2A95">
        <w:rPr>
          <w:highlight w:val="yellow"/>
        </w:rPr>
        <w:t>and</w:t>
      </w:r>
      <w:r w:rsidR="006E1961">
        <w:rPr>
          <w:highlight w:val="yellow"/>
        </w:rPr>
        <w:t xml:space="preserve"> Dasgupta</w:t>
      </w:r>
      <w:r>
        <w:rPr>
          <w:highlight w:val="yellow"/>
        </w:rPr>
        <w:t xml:space="preserve">, </w:t>
      </w:r>
      <w:r w:rsidR="006E1961">
        <w:rPr>
          <w:highlight w:val="yellow"/>
        </w:rPr>
        <w:t xml:space="preserve">2022) </w:t>
      </w:r>
      <w:r w:rsidR="009D646A">
        <w:rPr>
          <w:highlight w:val="yellow"/>
        </w:rPr>
        <w:t>posit</w:t>
      </w:r>
      <w:r>
        <w:rPr>
          <w:highlight w:val="yellow"/>
        </w:rPr>
        <w:t>s</w:t>
      </w:r>
      <w:r w:rsidR="009D646A">
        <w:rPr>
          <w:highlight w:val="yellow"/>
        </w:rPr>
        <w:t xml:space="preserve"> that to reduce the interconnected barriers faced by historically marginalized students – barriers that hold them back despite their best efforts and motivation to succeed and feed negative stereotypes and low academic expectations – s</w:t>
      </w:r>
      <w:r w:rsidR="00A458AA">
        <w:rPr>
          <w:highlight w:val="yellow"/>
        </w:rPr>
        <w:t xml:space="preserve">tructural changes </w:t>
      </w:r>
      <w:r w:rsidR="009D646A">
        <w:rPr>
          <w:highlight w:val="yellow"/>
        </w:rPr>
        <w:t>that require</w:t>
      </w:r>
      <w:r w:rsidR="006A298B">
        <w:rPr>
          <w:highlight w:val="yellow"/>
        </w:rPr>
        <w:t xml:space="preserve"> </w:t>
      </w:r>
      <w:r w:rsidR="009E26A6">
        <w:rPr>
          <w:highlight w:val="yellow"/>
        </w:rPr>
        <w:t xml:space="preserve">institutions and </w:t>
      </w:r>
      <w:r w:rsidR="00A458AA">
        <w:rPr>
          <w:highlight w:val="yellow"/>
        </w:rPr>
        <w:t xml:space="preserve">faculty to rethink programs to become more inclusive </w:t>
      </w:r>
      <w:r w:rsidR="006A298B">
        <w:rPr>
          <w:highlight w:val="yellow"/>
        </w:rPr>
        <w:t>for</w:t>
      </w:r>
      <w:r w:rsidR="00A458AA">
        <w:rPr>
          <w:highlight w:val="yellow"/>
        </w:rPr>
        <w:t xml:space="preserve"> all students</w:t>
      </w:r>
      <w:r>
        <w:rPr>
          <w:highlight w:val="yellow"/>
        </w:rPr>
        <w:t xml:space="preserve"> are needed</w:t>
      </w:r>
      <w:r w:rsidR="009541CD">
        <w:rPr>
          <w:highlight w:val="yellow"/>
        </w:rPr>
        <w:t xml:space="preserve">. </w:t>
      </w:r>
      <w:r w:rsidR="00264269">
        <w:rPr>
          <w:highlight w:val="yellow"/>
        </w:rPr>
        <w:t>Examples that promote positive college experiences include</w:t>
      </w:r>
      <w:r w:rsidR="00FF4202">
        <w:rPr>
          <w:highlight w:val="yellow"/>
        </w:rPr>
        <w:t xml:space="preserve"> </w:t>
      </w:r>
      <w:r w:rsidR="00887D64">
        <w:rPr>
          <w:highlight w:val="yellow"/>
        </w:rPr>
        <w:t xml:space="preserve">faculty role models and </w:t>
      </w:r>
      <w:r w:rsidR="00FF4202">
        <w:rPr>
          <w:highlight w:val="yellow"/>
        </w:rPr>
        <w:t xml:space="preserve">living-learning communities </w:t>
      </w:r>
      <w:r w:rsidR="00264269">
        <w:rPr>
          <w:highlight w:val="yellow"/>
        </w:rPr>
        <w:t xml:space="preserve">that help students </w:t>
      </w:r>
      <w:r w:rsidR="00F678BB">
        <w:rPr>
          <w:highlight w:val="yellow"/>
        </w:rPr>
        <w:t>broaden professional networks and mentoring opportunities. Receiving support from an ‘ingroup member’ helps inoculate students against stereotypes and give them a future ‘possible self’ to aspire to. Such communities also foster interdependence and communal values rather than individual advancement and independen</w:t>
      </w:r>
      <w:r w:rsidR="004C480D">
        <w:rPr>
          <w:highlight w:val="yellow"/>
        </w:rPr>
        <w:t>ce</w:t>
      </w:r>
      <w:r w:rsidR="00D40519">
        <w:rPr>
          <w:highlight w:val="yellow"/>
        </w:rPr>
        <w:t xml:space="preserve">. These communal values </w:t>
      </w:r>
      <w:r w:rsidR="00F678BB">
        <w:rPr>
          <w:highlight w:val="yellow"/>
        </w:rPr>
        <w:t xml:space="preserve">serve to </w:t>
      </w:r>
      <w:r w:rsidR="00D40519">
        <w:rPr>
          <w:highlight w:val="yellow"/>
        </w:rPr>
        <w:t xml:space="preserve">reduce stress and anxiety created by </w:t>
      </w:r>
      <w:r w:rsidR="00F678BB">
        <w:rPr>
          <w:highlight w:val="yellow"/>
        </w:rPr>
        <w:t>the cultural mismatch</w:t>
      </w:r>
      <w:r w:rsidR="00D40519">
        <w:rPr>
          <w:highlight w:val="yellow"/>
        </w:rPr>
        <w:t xml:space="preserve"> felt by many first-generation students who think that success will enable them to give back to their families and better serve their communities.</w:t>
      </w:r>
      <w:r w:rsidR="009541CD">
        <w:rPr>
          <w:highlight w:val="yellow"/>
        </w:rPr>
        <w:t xml:space="preserve"> </w:t>
      </w:r>
      <w:r w:rsidR="00090F7C">
        <w:rPr>
          <w:highlight w:val="yellow"/>
        </w:rPr>
        <w:t>Instructional practices focus on verbal and written feedback and encouragement, promoting help-seeking behaviors and a growth mindset where abilities are developed through persistent hard work rather than fixed mindsets where students are believed to be intelligent or not</w:t>
      </w:r>
      <w:r w:rsidR="00887D64">
        <w:rPr>
          <w:highlight w:val="yellow"/>
        </w:rPr>
        <w:t>. Faculty are encouraged to create learning environments that enable greater peer collaboration and semester-</w:t>
      </w:r>
      <w:r w:rsidR="00887D64">
        <w:rPr>
          <w:highlight w:val="yellow"/>
        </w:rPr>
        <w:lastRenderedPageBreak/>
        <w:t>long learning experiences and growth rather than the traditional independent class project</w:t>
      </w:r>
      <w:r w:rsidR="00EA2A95">
        <w:rPr>
          <w:highlight w:val="yellow"/>
        </w:rPr>
        <w:t xml:space="preserve"> (</w:t>
      </w:r>
      <w:proofErr w:type="spellStart"/>
      <w:r w:rsidR="00EA2A95">
        <w:rPr>
          <w:highlight w:val="yellow"/>
        </w:rPr>
        <w:t>Thiem</w:t>
      </w:r>
      <w:proofErr w:type="spellEnd"/>
      <w:r w:rsidR="00EA2A95">
        <w:rPr>
          <w:highlight w:val="yellow"/>
        </w:rPr>
        <w:t xml:space="preserve"> &amp; Dasgupta</w:t>
      </w:r>
      <w:r w:rsidR="004C480D">
        <w:rPr>
          <w:highlight w:val="yellow"/>
        </w:rPr>
        <w:t>,</w:t>
      </w:r>
      <w:r w:rsidR="00EA2A95">
        <w:rPr>
          <w:highlight w:val="yellow"/>
        </w:rPr>
        <w:t xml:space="preserve"> 2022)</w:t>
      </w:r>
      <w:r w:rsidR="00090F7C">
        <w:rPr>
          <w:highlight w:val="yellow"/>
        </w:rPr>
        <w:t>.</w:t>
      </w:r>
    </w:p>
    <w:p w14:paraId="630AE154" w14:textId="3F0EA731" w:rsidR="00A0553E" w:rsidRDefault="00D57C80" w:rsidP="0087229C">
      <w:pPr>
        <w:spacing w:line="480" w:lineRule="auto"/>
        <w:ind w:firstLine="720"/>
      </w:pPr>
      <w:r w:rsidRPr="008D5584">
        <w:rPr>
          <w:highlight w:val="yellow"/>
        </w:rPr>
        <w:t xml:space="preserve">Students who report </w:t>
      </w:r>
      <w:r w:rsidR="00C96941" w:rsidRPr="008D5584">
        <w:rPr>
          <w:highlight w:val="yellow"/>
        </w:rPr>
        <w:t>greater</w:t>
      </w:r>
      <w:r w:rsidRPr="008D5584">
        <w:rPr>
          <w:highlight w:val="yellow"/>
        </w:rPr>
        <w:t xml:space="preserve"> interaction with faculty and involvement in </w:t>
      </w:r>
      <w:r w:rsidR="00AF59C1" w:rsidRPr="008D5584">
        <w:rPr>
          <w:highlight w:val="yellow"/>
        </w:rPr>
        <w:t xml:space="preserve">experiential </w:t>
      </w:r>
      <w:r w:rsidRPr="008D5584">
        <w:rPr>
          <w:highlight w:val="yellow"/>
        </w:rPr>
        <w:t xml:space="preserve">learning show </w:t>
      </w:r>
      <w:r w:rsidR="00C96941" w:rsidRPr="008D5584">
        <w:rPr>
          <w:highlight w:val="yellow"/>
        </w:rPr>
        <w:t>better academic performance (</w:t>
      </w:r>
      <w:proofErr w:type="spellStart"/>
      <w:r w:rsidR="00C96941" w:rsidRPr="008D5584">
        <w:rPr>
          <w:highlight w:val="yellow"/>
        </w:rPr>
        <w:t>Trolian</w:t>
      </w:r>
      <w:proofErr w:type="spellEnd"/>
      <w:r w:rsidR="00C96941" w:rsidRPr="008D5584">
        <w:rPr>
          <w:highlight w:val="yellow"/>
        </w:rPr>
        <w:t xml:space="preserve"> et al., 2016) and greater</w:t>
      </w:r>
      <w:r w:rsidRPr="008D5584">
        <w:rPr>
          <w:highlight w:val="yellow"/>
        </w:rPr>
        <w:t xml:space="preserve"> social integration into the campus communit</w:t>
      </w:r>
      <w:r w:rsidR="00D501FF" w:rsidRPr="008D5584">
        <w:rPr>
          <w:highlight w:val="yellow"/>
        </w:rPr>
        <w:t>y</w:t>
      </w:r>
      <w:r w:rsidRPr="008D5584">
        <w:rPr>
          <w:highlight w:val="yellow"/>
        </w:rPr>
        <w:t xml:space="preserve"> (</w:t>
      </w:r>
      <w:r w:rsidR="007B7444" w:rsidRPr="008D5584">
        <w:rPr>
          <w:highlight w:val="yellow"/>
        </w:rPr>
        <w:t xml:space="preserve">Cook-Sather &amp; </w:t>
      </w:r>
      <w:proofErr w:type="spellStart"/>
      <w:r w:rsidR="007B7444" w:rsidRPr="008D5584">
        <w:rPr>
          <w:highlight w:val="yellow"/>
        </w:rPr>
        <w:t>Felten</w:t>
      </w:r>
      <w:proofErr w:type="spellEnd"/>
      <w:r w:rsidR="007B7444" w:rsidRPr="008D5584">
        <w:rPr>
          <w:highlight w:val="yellow"/>
        </w:rPr>
        <w:t xml:space="preserve">, 2017; </w:t>
      </w:r>
      <w:proofErr w:type="spellStart"/>
      <w:r w:rsidR="007B7444" w:rsidRPr="008D5584">
        <w:rPr>
          <w:highlight w:val="yellow"/>
        </w:rPr>
        <w:t>Raposa</w:t>
      </w:r>
      <w:proofErr w:type="spellEnd"/>
      <w:r w:rsidR="007B7444" w:rsidRPr="008D5584">
        <w:rPr>
          <w:highlight w:val="yellow"/>
        </w:rPr>
        <w:t xml:space="preserve"> et al., 202</w:t>
      </w:r>
      <w:r w:rsidR="00DA6E50" w:rsidRPr="008D5584">
        <w:rPr>
          <w:highlight w:val="yellow"/>
        </w:rPr>
        <w:t>1</w:t>
      </w:r>
      <w:r w:rsidRPr="0010553F">
        <w:rPr>
          <w:highlight w:val="yellow"/>
        </w:rPr>
        <w:t>)</w:t>
      </w:r>
      <w:r w:rsidR="00E05CA1" w:rsidRPr="0010553F">
        <w:rPr>
          <w:highlight w:val="yellow"/>
        </w:rPr>
        <w:t>.</w:t>
      </w:r>
      <w:r w:rsidRPr="0010553F">
        <w:rPr>
          <w:highlight w:val="yellow"/>
        </w:rPr>
        <w:t xml:space="preserve"> </w:t>
      </w:r>
      <w:r w:rsidR="00A8568A" w:rsidRPr="0010553F">
        <w:rPr>
          <w:highlight w:val="yellow"/>
        </w:rPr>
        <w:t xml:space="preserve">Further, </w:t>
      </w:r>
      <w:r w:rsidR="00BB7410" w:rsidRPr="0010553F">
        <w:rPr>
          <w:highlight w:val="yellow"/>
        </w:rPr>
        <w:t>greater</w:t>
      </w:r>
      <w:r w:rsidR="00A8568A" w:rsidRPr="0010553F">
        <w:rPr>
          <w:highlight w:val="yellow"/>
        </w:rPr>
        <w:t xml:space="preserve"> </w:t>
      </w:r>
      <w:r w:rsidR="00BB7410" w:rsidRPr="0010553F">
        <w:rPr>
          <w:highlight w:val="yellow"/>
        </w:rPr>
        <w:t xml:space="preserve">campus </w:t>
      </w:r>
      <w:r w:rsidR="00A8568A" w:rsidRPr="0010553F">
        <w:rPr>
          <w:highlight w:val="yellow"/>
        </w:rPr>
        <w:t xml:space="preserve">support </w:t>
      </w:r>
      <w:r w:rsidR="007F592C">
        <w:rPr>
          <w:highlight w:val="yellow"/>
        </w:rPr>
        <w:t>fosters enhanced</w:t>
      </w:r>
      <w:r w:rsidR="00BB7410" w:rsidRPr="0010553F">
        <w:rPr>
          <w:highlight w:val="yellow"/>
        </w:rPr>
        <w:t xml:space="preserve"> resilience</w:t>
      </w:r>
      <w:r w:rsidR="007F592C">
        <w:rPr>
          <w:highlight w:val="yellow"/>
        </w:rPr>
        <w:t xml:space="preserve"> in response to stressful situations</w:t>
      </w:r>
      <w:r w:rsidR="00BB7410" w:rsidRPr="0010553F">
        <w:rPr>
          <w:highlight w:val="yellow"/>
        </w:rPr>
        <w:t xml:space="preserve">, enabling a ‘stress-is-enhancing’ versus a ‘stress-is debilitating’ mindset that can </w:t>
      </w:r>
      <w:r w:rsidR="004C480D">
        <w:rPr>
          <w:highlight w:val="yellow"/>
        </w:rPr>
        <w:t xml:space="preserve">help </w:t>
      </w:r>
      <w:r w:rsidR="00BB7410" w:rsidRPr="0010553F">
        <w:rPr>
          <w:highlight w:val="yellow"/>
        </w:rPr>
        <w:t>reduce the impact of stress on the development of anxiety among college students (</w:t>
      </w:r>
      <w:proofErr w:type="spellStart"/>
      <w:r w:rsidR="00BB7410" w:rsidRPr="0010553F">
        <w:rPr>
          <w:highlight w:val="yellow"/>
        </w:rPr>
        <w:t>Huebschmann</w:t>
      </w:r>
      <w:proofErr w:type="spellEnd"/>
      <w:r w:rsidR="00BB7410" w:rsidRPr="0010553F">
        <w:rPr>
          <w:highlight w:val="yellow"/>
        </w:rPr>
        <w:t xml:space="preserve"> &amp; Sheets, 2020).</w:t>
      </w:r>
      <w:r w:rsidR="00511770">
        <w:t xml:space="preserve"> </w:t>
      </w:r>
      <w:r w:rsidR="00511770">
        <w:rPr>
          <w:highlight w:val="yellow"/>
        </w:rPr>
        <w:t>Among</w:t>
      </w:r>
      <w:r w:rsidR="00511770" w:rsidRPr="008D5584">
        <w:rPr>
          <w:highlight w:val="yellow"/>
        </w:rPr>
        <w:t xml:space="preserve"> </w:t>
      </w:r>
      <w:r w:rsidR="00511770">
        <w:rPr>
          <w:highlight w:val="yellow"/>
        </w:rPr>
        <w:t xml:space="preserve">college </w:t>
      </w:r>
      <w:r w:rsidR="00511770" w:rsidRPr="008D5584">
        <w:rPr>
          <w:highlight w:val="yellow"/>
        </w:rPr>
        <w:t xml:space="preserve">nursing students, perceptions of </w:t>
      </w:r>
      <w:r w:rsidR="00511770">
        <w:rPr>
          <w:highlight w:val="yellow"/>
        </w:rPr>
        <w:t xml:space="preserve">a supportive </w:t>
      </w:r>
      <w:r w:rsidR="00511770" w:rsidRPr="008D5584">
        <w:rPr>
          <w:highlight w:val="yellow"/>
        </w:rPr>
        <w:t xml:space="preserve">campus climate moderated the association between resilience and academic distress. </w:t>
      </w:r>
      <w:r w:rsidR="00A25D02">
        <w:rPr>
          <w:highlight w:val="yellow"/>
        </w:rPr>
        <w:t>Further</w:t>
      </w:r>
      <w:r w:rsidR="004C480D">
        <w:rPr>
          <w:highlight w:val="yellow"/>
        </w:rPr>
        <w:t>more</w:t>
      </w:r>
      <w:r w:rsidR="00A25D02">
        <w:rPr>
          <w:highlight w:val="yellow"/>
        </w:rPr>
        <w:t>, the</w:t>
      </w:r>
      <w:r w:rsidR="00511770" w:rsidRPr="008D5584">
        <w:rPr>
          <w:highlight w:val="yellow"/>
        </w:rPr>
        <w:t xml:space="preserve"> authors</w:t>
      </w:r>
      <w:r w:rsidR="00511770">
        <w:rPr>
          <w:highlight w:val="yellow"/>
        </w:rPr>
        <w:t xml:space="preserve"> </w:t>
      </w:r>
      <w:r w:rsidR="00511770" w:rsidRPr="008D5584">
        <w:rPr>
          <w:highlight w:val="yellow"/>
        </w:rPr>
        <w:t xml:space="preserve">noted </w:t>
      </w:r>
      <w:r w:rsidR="00511770">
        <w:rPr>
          <w:highlight w:val="yellow"/>
        </w:rPr>
        <w:t xml:space="preserve">that </w:t>
      </w:r>
      <w:r w:rsidR="00511770" w:rsidRPr="008D5584">
        <w:rPr>
          <w:highlight w:val="yellow"/>
        </w:rPr>
        <w:t>a supportive campus environment can increase the chances that all students succeed versus only those with higher resilience</w:t>
      </w:r>
      <w:r w:rsidR="00511770">
        <w:rPr>
          <w:highlight w:val="yellow"/>
        </w:rPr>
        <w:t xml:space="preserve"> </w:t>
      </w:r>
      <w:r w:rsidR="00511770" w:rsidRPr="008D5584">
        <w:rPr>
          <w:highlight w:val="yellow"/>
        </w:rPr>
        <w:t>(</w:t>
      </w:r>
      <w:proofErr w:type="spellStart"/>
      <w:r w:rsidR="00511770" w:rsidRPr="008D5584">
        <w:rPr>
          <w:highlight w:val="yellow"/>
        </w:rPr>
        <w:t>Mcdermott</w:t>
      </w:r>
      <w:proofErr w:type="spellEnd"/>
      <w:r w:rsidR="00511770" w:rsidRPr="008D5584">
        <w:rPr>
          <w:highlight w:val="yellow"/>
        </w:rPr>
        <w:t xml:space="preserve"> et al., 2020)</w:t>
      </w:r>
      <w:r w:rsidR="00511770">
        <w:rPr>
          <w:highlight w:val="yellow"/>
        </w:rPr>
        <w:t>.</w:t>
      </w:r>
      <w:r w:rsidR="00511770">
        <w:t xml:space="preserve">   </w:t>
      </w:r>
    </w:p>
    <w:p w14:paraId="639005A8" w14:textId="3B39883E" w:rsidR="00BF3EAB" w:rsidRDefault="001E3683" w:rsidP="007B0192">
      <w:pPr>
        <w:widowControl w:val="0"/>
        <w:spacing w:line="480" w:lineRule="auto"/>
        <w:ind w:firstLine="720"/>
      </w:pPr>
      <w:r>
        <w:t>Because</w:t>
      </w:r>
      <w:r w:rsidR="00BF3EAB">
        <w:t xml:space="preserve"> positive </w:t>
      </w:r>
      <w:r w:rsidR="003F0EFD">
        <w:t xml:space="preserve">college </w:t>
      </w:r>
      <w:r w:rsidR="00BF3EAB">
        <w:t xml:space="preserve">experiences may </w:t>
      </w:r>
      <w:r w:rsidR="00BF3EAB" w:rsidRPr="00257F7A">
        <w:t xml:space="preserve">strengthen the association between </w:t>
      </w:r>
      <w:r w:rsidR="00BF3EAB">
        <w:t xml:space="preserve">greater </w:t>
      </w:r>
      <w:r w:rsidR="00BF3EAB" w:rsidRPr="00257F7A">
        <w:t>resilience and lower anxiety</w:t>
      </w:r>
      <w:r w:rsidR="00BF3EAB">
        <w:t xml:space="preserve">, </w:t>
      </w:r>
      <w:r w:rsidR="00DC26D7" w:rsidRPr="00DC26D7">
        <w:rPr>
          <w:highlight w:val="yellow"/>
        </w:rPr>
        <w:t xml:space="preserve">the purpose of this study was to examine </w:t>
      </w:r>
      <w:r w:rsidR="00DC26D7" w:rsidRPr="00F71955">
        <w:rPr>
          <w:highlight w:val="yellow"/>
        </w:rPr>
        <w:t>if</w:t>
      </w:r>
      <w:r w:rsidR="00BF3EAB" w:rsidRPr="00F71955">
        <w:rPr>
          <w:highlight w:val="yellow"/>
        </w:rPr>
        <w:t xml:space="preserve"> </w:t>
      </w:r>
      <w:r w:rsidR="00BF3EAB" w:rsidRPr="00257F7A">
        <w:t xml:space="preserve">robust </w:t>
      </w:r>
      <w:r w:rsidR="00DC26D7">
        <w:t>positive campus</w:t>
      </w:r>
      <w:r w:rsidR="00BF3EAB" w:rsidRPr="00257F7A">
        <w:t xml:space="preserve"> experiences of </w:t>
      </w:r>
      <w:r w:rsidR="00BF3EAB">
        <w:t xml:space="preserve">institutional </w:t>
      </w:r>
      <w:r w:rsidR="00BF3EAB" w:rsidRPr="00257F7A">
        <w:t>support and experiential learning moderate</w:t>
      </w:r>
      <w:r w:rsidR="00B621A4">
        <w:t>d</w:t>
      </w:r>
      <w:r w:rsidR="00BF3EAB" w:rsidRPr="00257F7A">
        <w:t xml:space="preserve"> the association between resilience and anxiety </w:t>
      </w:r>
      <w:r w:rsidR="00FB3A2C">
        <w:t>symptoms</w:t>
      </w:r>
      <w:r w:rsidR="00F71955">
        <w:t xml:space="preserve"> among </w:t>
      </w:r>
      <w:r w:rsidR="00F71955" w:rsidRPr="00257F7A">
        <w:t>currently enrolled underrepresented student</w:t>
      </w:r>
      <w:r w:rsidR="00F71955">
        <w:t>s</w:t>
      </w:r>
      <w:r w:rsidR="00BF3EAB" w:rsidRPr="00257F7A">
        <w:t>.</w:t>
      </w:r>
      <w:r w:rsidR="00B621A4">
        <w:t xml:space="preserve"> </w:t>
      </w:r>
      <w:r w:rsidR="00DC7488">
        <w:rPr>
          <w:highlight w:val="yellow"/>
        </w:rPr>
        <w:t>Specifically, it</w:t>
      </w:r>
      <w:r w:rsidR="00DC26D7">
        <w:rPr>
          <w:highlight w:val="yellow"/>
        </w:rPr>
        <w:t xml:space="preserve"> was</w:t>
      </w:r>
      <w:r w:rsidR="00DC26D7" w:rsidRPr="00DC26D7">
        <w:rPr>
          <w:highlight w:val="yellow"/>
        </w:rPr>
        <w:t xml:space="preserve"> hypothesized </w:t>
      </w:r>
      <w:r w:rsidR="00DC26D7" w:rsidRPr="00DC7488">
        <w:rPr>
          <w:highlight w:val="yellow"/>
        </w:rPr>
        <w:t xml:space="preserve">that: 1) resilience </w:t>
      </w:r>
      <w:r w:rsidR="006721DD">
        <w:rPr>
          <w:highlight w:val="yellow"/>
        </w:rPr>
        <w:t>is</w:t>
      </w:r>
      <w:r w:rsidR="00DC26D7" w:rsidRPr="00DC7488">
        <w:rPr>
          <w:highlight w:val="yellow"/>
        </w:rPr>
        <w:t xml:space="preserve"> negatively associated with anxiety symptoms; 2) positive college experiences </w:t>
      </w:r>
      <w:r w:rsidR="006721DD">
        <w:rPr>
          <w:highlight w:val="yellow"/>
        </w:rPr>
        <w:t>are</w:t>
      </w:r>
      <w:r w:rsidR="00DC26D7" w:rsidRPr="00DC7488">
        <w:rPr>
          <w:highlight w:val="yellow"/>
        </w:rPr>
        <w:t xml:space="preserve"> negatively associated with anxiety symptoms; and 3) the product of resilience and positive college experiences </w:t>
      </w:r>
      <w:r w:rsidR="006721DD">
        <w:rPr>
          <w:highlight w:val="yellow"/>
        </w:rPr>
        <w:t>is</w:t>
      </w:r>
      <w:r w:rsidR="00DC26D7" w:rsidRPr="00DC7488">
        <w:rPr>
          <w:highlight w:val="yellow"/>
        </w:rPr>
        <w:t xml:space="preserve"> associated with anxiety symptoms, such that high levels of positive college experiences moderate the impact of resilience on anxiety symptoms.</w:t>
      </w:r>
    </w:p>
    <w:p w14:paraId="121DF2AC" w14:textId="21F88ECE" w:rsidR="00C96F41" w:rsidRPr="00257F7A" w:rsidRDefault="004B544C" w:rsidP="004B544C">
      <w:pPr>
        <w:spacing w:line="480" w:lineRule="auto"/>
        <w:jc w:val="center"/>
        <w:rPr>
          <w:b/>
          <w:bCs/>
          <w:lang w:val="en-GB"/>
        </w:rPr>
      </w:pPr>
      <w:r>
        <w:rPr>
          <w:b/>
          <w:bCs/>
          <w:lang w:val="en-GB"/>
        </w:rPr>
        <w:t>Methods</w:t>
      </w:r>
    </w:p>
    <w:p w14:paraId="21816B0F" w14:textId="58591111" w:rsidR="00C96F41" w:rsidRPr="00257F7A" w:rsidRDefault="006E4A32" w:rsidP="0049642C">
      <w:pPr>
        <w:spacing w:line="480" w:lineRule="auto"/>
        <w:rPr>
          <w:b/>
          <w:bCs/>
        </w:rPr>
      </w:pPr>
      <w:r w:rsidRPr="00257F7A">
        <w:rPr>
          <w:b/>
          <w:bCs/>
        </w:rPr>
        <w:t>Sample</w:t>
      </w:r>
      <w:r w:rsidR="00DE06FB" w:rsidRPr="00257F7A">
        <w:rPr>
          <w:b/>
          <w:bCs/>
        </w:rPr>
        <w:t xml:space="preserve"> and Procedures</w:t>
      </w:r>
    </w:p>
    <w:p w14:paraId="7B559211" w14:textId="1EA22000" w:rsidR="00683D43" w:rsidRPr="001441D5" w:rsidRDefault="00FB7985" w:rsidP="00683D43">
      <w:pPr>
        <w:spacing w:line="480" w:lineRule="auto"/>
        <w:ind w:firstLine="720"/>
      </w:pPr>
      <w:r w:rsidRPr="002D14A2">
        <w:lastRenderedPageBreak/>
        <w:t xml:space="preserve">A total of 447 undergraduate students attending a large university in the southwestern United States (U.S.) and enrolled in programs that provided academic assistance housed within the Division of Diversity and Community Engagement participated in </w:t>
      </w:r>
      <w:r w:rsidR="00212683">
        <w:t>the</w:t>
      </w:r>
      <w:r w:rsidRPr="002D14A2">
        <w:t xml:space="preserve"> study. </w:t>
      </w:r>
      <w:r w:rsidR="00683D43" w:rsidRPr="005843FC">
        <w:t>Students were recruited through in-person</w:t>
      </w:r>
      <w:r w:rsidR="00683D43" w:rsidRPr="00257F7A">
        <w:t xml:space="preserve"> announcements and completed an online Qualtrics </w:t>
      </w:r>
      <w:r w:rsidR="00683D43">
        <w:t>survey two weeks prior to final exams</w:t>
      </w:r>
      <w:r w:rsidR="00683D43" w:rsidRPr="00257F7A">
        <w:t xml:space="preserve"> as part of a larger </w:t>
      </w:r>
      <w:r w:rsidR="0017431E">
        <w:t>project</w:t>
      </w:r>
      <w:r w:rsidR="00683D43" w:rsidRPr="00257F7A">
        <w:t xml:space="preserve"> focused on underrepresented students (Wright et al., 2021). </w:t>
      </w:r>
      <w:r w:rsidR="00212683">
        <w:t>Seventeen</w:t>
      </w:r>
      <w:r w:rsidRPr="002D14A2">
        <w:t xml:space="preserve"> participants were missing </w:t>
      </w:r>
      <w:r w:rsidR="00155037">
        <w:t xml:space="preserve">data </w:t>
      </w:r>
      <w:r w:rsidR="00EF0E3D">
        <w:t xml:space="preserve">on age </w:t>
      </w:r>
      <w:r w:rsidRPr="002D14A2">
        <w:t>and removed from the analysis</w:t>
      </w:r>
      <w:r w:rsidR="00212683">
        <w:t xml:space="preserve">. Thus, the </w:t>
      </w:r>
      <w:r w:rsidR="00081A53" w:rsidRPr="002D14A2">
        <w:t>final</w:t>
      </w:r>
      <w:r w:rsidRPr="002D14A2">
        <w:t xml:space="preserve"> analytic sample size </w:t>
      </w:r>
      <w:r w:rsidR="00622C1C" w:rsidRPr="002D14A2">
        <w:t>wa</w:t>
      </w:r>
      <w:r w:rsidRPr="002D14A2">
        <w:t xml:space="preserve">s </w:t>
      </w:r>
      <w:r w:rsidR="00C06E8E" w:rsidRPr="00C06E8E">
        <w:rPr>
          <w:i/>
          <w:iCs/>
        </w:rPr>
        <w:t>N</w:t>
      </w:r>
      <w:r w:rsidR="00C06E8E">
        <w:t xml:space="preserve"> = </w:t>
      </w:r>
      <w:r w:rsidR="00DE06FB" w:rsidRPr="002D14A2">
        <w:t>4</w:t>
      </w:r>
      <w:r w:rsidR="009F0E49" w:rsidRPr="002D14A2">
        <w:t>30</w:t>
      </w:r>
      <w:r w:rsidR="00155037">
        <w:t>.</w:t>
      </w:r>
      <w:r w:rsidR="00CD62F2" w:rsidRPr="002D14A2">
        <w:t xml:space="preserve"> </w:t>
      </w:r>
      <w:r w:rsidR="000736F3">
        <w:rPr>
          <w:highlight w:val="yellow"/>
        </w:rPr>
        <w:t>Using a</w:t>
      </w:r>
      <w:r w:rsidR="00683D43" w:rsidRPr="001441D5">
        <w:rPr>
          <w:highlight w:val="yellow"/>
        </w:rPr>
        <w:t xml:space="preserve"> </w:t>
      </w:r>
      <w:r w:rsidR="000736F3" w:rsidRPr="001441D5">
        <w:rPr>
          <w:highlight w:val="yellow"/>
        </w:rPr>
        <w:t xml:space="preserve">G*Power </w:t>
      </w:r>
      <w:r w:rsidR="00683D43" w:rsidRPr="001441D5">
        <w:rPr>
          <w:highlight w:val="yellow"/>
        </w:rPr>
        <w:t xml:space="preserve">analysis </w:t>
      </w:r>
      <w:r w:rsidR="000736F3">
        <w:rPr>
          <w:highlight w:val="yellow"/>
        </w:rPr>
        <w:t>with</w:t>
      </w:r>
      <w:r w:rsidR="00683D43" w:rsidRPr="001441D5">
        <w:rPr>
          <w:highlight w:val="yellow"/>
        </w:rPr>
        <w:t xml:space="preserve"> an estimated effect size of .</w:t>
      </w:r>
      <w:r w:rsidR="004C480D">
        <w:rPr>
          <w:highlight w:val="yellow"/>
        </w:rPr>
        <w:t>02</w:t>
      </w:r>
      <w:r w:rsidR="00683D43" w:rsidRPr="001441D5">
        <w:rPr>
          <w:highlight w:val="yellow"/>
        </w:rPr>
        <w:t xml:space="preserve">, alpha of .05, and 80% power, the minimum sample size needed was </w:t>
      </w:r>
      <w:r w:rsidR="004C480D">
        <w:rPr>
          <w:highlight w:val="yellow"/>
        </w:rPr>
        <w:t>395</w:t>
      </w:r>
      <w:r w:rsidR="00683D43" w:rsidRPr="001441D5">
        <w:rPr>
          <w:highlight w:val="yellow"/>
        </w:rPr>
        <w:t xml:space="preserve"> participants</w:t>
      </w:r>
      <w:r w:rsidR="00F71955">
        <w:rPr>
          <w:highlight w:val="yellow"/>
        </w:rPr>
        <w:t xml:space="preserve"> </w:t>
      </w:r>
      <w:r w:rsidR="00F71955" w:rsidRPr="001441D5">
        <w:rPr>
          <w:highlight w:val="yellow"/>
        </w:rPr>
        <w:t>(</w:t>
      </w:r>
      <w:proofErr w:type="spellStart"/>
      <w:r w:rsidR="00F71955" w:rsidRPr="001441D5">
        <w:rPr>
          <w:highlight w:val="yellow"/>
        </w:rPr>
        <w:t>Faul</w:t>
      </w:r>
      <w:proofErr w:type="spellEnd"/>
      <w:r w:rsidR="00F71955" w:rsidRPr="001441D5">
        <w:rPr>
          <w:highlight w:val="yellow"/>
        </w:rPr>
        <w:t xml:space="preserve"> et al., 2007)</w:t>
      </w:r>
      <w:r w:rsidR="00683D43" w:rsidRPr="001441D5">
        <w:rPr>
          <w:highlight w:val="yellow"/>
        </w:rPr>
        <w:t xml:space="preserve">. </w:t>
      </w:r>
      <w:r w:rsidR="00683D43">
        <w:rPr>
          <w:highlight w:val="yellow"/>
        </w:rPr>
        <w:t>Thus</w:t>
      </w:r>
      <w:r w:rsidR="00683D43" w:rsidRPr="001441D5">
        <w:rPr>
          <w:highlight w:val="yellow"/>
        </w:rPr>
        <w:t xml:space="preserve">, the study sample size of </w:t>
      </w:r>
      <w:r w:rsidR="00683D43" w:rsidRPr="00DE2DE7">
        <w:rPr>
          <w:i/>
          <w:iCs/>
          <w:highlight w:val="yellow"/>
        </w:rPr>
        <w:t>N</w:t>
      </w:r>
      <w:r w:rsidR="00683D43" w:rsidRPr="001441D5">
        <w:rPr>
          <w:highlight w:val="yellow"/>
        </w:rPr>
        <w:t xml:space="preserve"> = </w:t>
      </w:r>
      <w:r w:rsidR="00683D43">
        <w:rPr>
          <w:highlight w:val="yellow"/>
        </w:rPr>
        <w:t>430</w:t>
      </w:r>
      <w:r w:rsidR="00683D43" w:rsidRPr="001441D5">
        <w:rPr>
          <w:highlight w:val="yellow"/>
        </w:rPr>
        <w:t xml:space="preserve"> </w:t>
      </w:r>
      <w:r w:rsidR="009E245E">
        <w:rPr>
          <w:highlight w:val="yellow"/>
        </w:rPr>
        <w:t>was</w:t>
      </w:r>
      <w:r w:rsidR="00683D43" w:rsidRPr="001441D5">
        <w:rPr>
          <w:highlight w:val="yellow"/>
        </w:rPr>
        <w:t xml:space="preserve"> </w:t>
      </w:r>
      <w:r w:rsidR="002E28DC">
        <w:rPr>
          <w:highlight w:val="yellow"/>
        </w:rPr>
        <w:t>sufficient</w:t>
      </w:r>
      <w:r w:rsidR="00683D43" w:rsidRPr="001441D5">
        <w:rPr>
          <w:highlight w:val="yellow"/>
        </w:rPr>
        <w:t xml:space="preserve"> to test the study hypothesis</w:t>
      </w:r>
      <w:r w:rsidR="00683D43" w:rsidRPr="00465A3F">
        <w:rPr>
          <w:highlight w:val="yellow"/>
        </w:rPr>
        <w:t>.</w:t>
      </w:r>
      <w:r w:rsidR="00683D43">
        <w:rPr>
          <w:highlight w:val="yellow"/>
        </w:rPr>
        <w:t xml:space="preserve"> </w:t>
      </w:r>
      <w:r w:rsidR="0000234B">
        <w:rPr>
          <w:highlight w:val="yellow"/>
        </w:rPr>
        <w:t>All procedures were</w:t>
      </w:r>
      <w:r w:rsidR="00683D43" w:rsidRPr="00465A3F">
        <w:rPr>
          <w:highlight w:val="yellow"/>
        </w:rPr>
        <w:t xml:space="preserve"> approved by the Institutional Review Board of The University of Texas at Austin.</w:t>
      </w:r>
      <w:r w:rsidR="000736F3">
        <w:t xml:space="preserve"> </w:t>
      </w:r>
      <w:r w:rsidR="00F71955">
        <w:t xml:space="preserve"> </w:t>
      </w:r>
    </w:p>
    <w:p w14:paraId="777C8D5F" w14:textId="34F58AAA" w:rsidR="005E02BA" w:rsidRPr="00257F7A" w:rsidRDefault="00155037" w:rsidP="00683D43">
      <w:pPr>
        <w:spacing w:line="480" w:lineRule="auto"/>
        <w:ind w:firstLine="720"/>
      </w:pPr>
      <w:r>
        <w:t xml:space="preserve">Sample characteristics </w:t>
      </w:r>
      <w:r w:rsidR="00AE4A5B">
        <w:t>include a</w:t>
      </w:r>
      <w:r>
        <w:t xml:space="preserve"> mean age of</w:t>
      </w:r>
      <w:r w:rsidRPr="002D14A2">
        <w:t xml:space="preserve"> </w:t>
      </w:r>
      <w:r w:rsidR="00FA3720" w:rsidRPr="002D14A2">
        <w:t>19</w:t>
      </w:r>
      <w:r w:rsidR="00CD62F2" w:rsidRPr="002D14A2">
        <w:t xml:space="preserve"> </w:t>
      </w:r>
      <w:r w:rsidR="00622C1C" w:rsidRPr="002D14A2">
        <w:t>±</w:t>
      </w:r>
      <w:r w:rsidR="00E613C1" w:rsidRPr="002D14A2">
        <w:t xml:space="preserve"> 1.6 years</w:t>
      </w:r>
      <w:r w:rsidR="00366A5B">
        <w:t>,</w:t>
      </w:r>
      <w:r w:rsidR="00290548" w:rsidRPr="002D14A2">
        <w:t xml:space="preserve"> </w:t>
      </w:r>
      <w:r w:rsidR="002576D4" w:rsidRPr="005843FC">
        <w:t>6</w:t>
      </w:r>
      <w:r w:rsidR="009318EF" w:rsidRPr="005843FC">
        <w:t>2</w:t>
      </w:r>
      <w:r w:rsidR="002576D4" w:rsidRPr="005843FC">
        <w:t>.</w:t>
      </w:r>
      <w:r w:rsidR="009318EF" w:rsidRPr="005843FC">
        <w:t>6</w:t>
      </w:r>
      <w:r w:rsidR="002576D4" w:rsidRPr="005843FC">
        <w:t>% female, 51.</w:t>
      </w:r>
      <w:r w:rsidR="009318EF" w:rsidRPr="005843FC">
        <w:t>2</w:t>
      </w:r>
      <w:r w:rsidR="002576D4" w:rsidRPr="005843FC">
        <w:t>% living on campus, 73.</w:t>
      </w:r>
      <w:r w:rsidR="009318EF" w:rsidRPr="005843FC">
        <w:t>5</w:t>
      </w:r>
      <w:r w:rsidR="002576D4" w:rsidRPr="005843FC">
        <w:t>% first-year students, and 3</w:t>
      </w:r>
      <w:r w:rsidR="009318EF" w:rsidRPr="005843FC">
        <w:t>8</w:t>
      </w:r>
      <w:r w:rsidR="002576D4" w:rsidRPr="005843FC">
        <w:t>.</w:t>
      </w:r>
      <w:r w:rsidR="009318EF" w:rsidRPr="005843FC">
        <w:t>1</w:t>
      </w:r>
      <w:r w:rsidR="002576D4" w:rsidRPr="005843FC">
        <w:t>% first-generation students</w:t>
      </w:r>
      <w:r w:rsidR="005A33B9" w:rsidRPr="005843FC">
        <w:t xml:space="preserve"> (i.e., neither parent </w:t>
      </w:r>
      <w:r w:rsidR="001360A7" w:rsidRPr="005843FC">
        <w:t xml:space="preserve">received </w:t>
      </w:r>
      <w:r w:rsidR="005A33B9" w:rsidRPr="005843FC">
        <w:t>a four-year college degree)</w:t>
      </w:r>
      <w:r w:rsidR="002576D4" w:rsidRPr="005843FC">
        <w:t xml:space="preserve">. The race/ethnicity of the sample </w:t>
      </w:r>
      <w:r>
        <w:t>was</w:t>
      </w:r>
      <w:r w:rsidRPr="005843FC">
        <w:t xml:space="preserve"> </w:t>
      </w:r>
      <w:r w:rsidR="00F04BF2" w:rsidRPr="005843FC">
        <w:t>18.</w:t>
      </w:r>
      <w:r w:rsidR="00481802" w:rsidRPr="005843FC">
        <w:t>8</w:t>
      </w:r>
      <w:r w:rsidR="00F04BF2" w:rsidRPr="005843FC">
        <w:t xml:space="preserve">% </w:t>
      </w:r>
      <w:r w:rsidR="001360A7" w:rsidRPr="005843FC">
        <w:t xml:space="preserve">non-Hispanic </w:t>
      </w:r>
      <w:r w:rsidR="002576D4" w:rsidRPr="005843FC">
        <w:t xml:space="preserve">White, </w:t>
      </w:r>
      <w:r w:rsidR="00F04BF2" w:rsidRPr="005843FC">
        <w:t>1</w:t>
      </w:r>
      <w:r w:rsidR="00481802" w:rsidRPr="005843FC">
        <w:t>7</w:t>
      </w:r>
      <w:r w:rsidR="00F04BF2" w:rsidRPr="005843FC">
        <w:t>.</w:t>
      </w:r>
      <w:r w:rsidR="00481802" w:rsidRPr="005843FC">
        <w:t>7</w:t>
      </w:r>
      <w:r w:rsidR="00F04BF2" w:rsidRPr="005843FC">
        <w:t xml:space="preserve">% </w:t>
      </w:r>
      <w:r w:rsidR="002576D4" w:rsidRPr="005843FC">
        <w:t xml:space="preserve">Black, </w:t>
      </w:r>
      <w:r w:rsidR="00481802" w:rsidRPr="005843FC">
        <w:t>40</w:t>
      </w:r>
      <w:r w:rsidR="00F04BF2" w:rsidRPr="005843FC">
        <w:t>.</w:t>
      </w:r>
      <w:r w:rsidR="00481802" w:rsidRPr="005843FC">
        <w:t>2</w:t>
      </w:r>
      <w:r w:rsidR="00F04BF2" w:rsidRPr="005843FC">
        <w:t xml:space="preserve">% </w:t>
      </w:r>
      <w:r w:rsidR="002576D4" w:rsidRPr="005843FC">
        <w:t xml:space="preserve">Hispanic, </w:t>
      </w:r>
      <w:r w:rsidR="00F04BF2" w:rsidRPr="005843FC">
        <w:t>20.</w:t>
      </w:r>
      <w:r w:rsidR="00481802" w:rsidRPr="005843FC">
        <w:t>0</w:t>
      </w:r>
      <w:r w:rsidR="00F04BF2" w:rsidRPr="005843FC">
        <w:t xml:space="preserve">% </w:t>
      </w:r>
      <w:r w:rsidR="002576D4" w:rsidRPr="005843FC">
        <w:t xml:space="preserve">Asian and </w:t>
      </w:r>
      <w:r w:rsidR="00481802" w:rsidRPr="005843FC">
        <w:t>3.3</w:t>
      </w:r>
      <w:r w:rsidR="00F04BF2" w:rsidRPr="005843FC">
        <w:t xml:space="preserve">% </w:t>
      </w:r>
      <w:r w:rsidR="00E57F26" w:rsidRPr="005843FC">
        <w:t>o</w:t>
      </w:r>
      <w:r w:rsidR="002576D4" w:rsidRPr="005843FC">
        <w:t>ther.</w:t>
      </w:r>
      <w:r w:rsidR="00683D43">
        <w:t xml:space="preserve"> </w:t>
      </w:r>
      <w:r w:rsidR="00A402AA" w:rsidRPr="00257F7A">
        <w:t>E</w:t>
      </w:r>
      <w:r w:rsidR="00146ABB" w:rsidRPr="00257F7A">
        <w:t xml:space="preserve">ach </w:t>
      </w:r>
      <w:r w:rsidR="000732C8">
        <w:t>student</w:t>
      </w:r>
      <w:r w:rsidR="000F4ABA" w:rsidRPr="00257F7A">
        <w:t xml:space="preserve"> </w:t>
      </w:r>
      <w:r w:rsidR="00CA5F7D" w:rsidRPr="00257F7A">
        <w:t xml:space="preserve">subsequently received a confidential personal feedback profile </w:t>
      </w:r>
      <w:r w:rsidR="00D90066" w:rsidRPr="00257F7A">
        <w:t>that included</w:t>
      </w:r>
      <w:r w:rsidR="00CA5F7D" w:rsidRPr="00257F7A">
        <w:t xml:space="preserve"> their individual </w:t>
      </w:r>
      <w:r w:rsidR="00121003" w:rsidRPr="003C604B">
        <w:t xml:space="preserve">survey </w:t>
      </w:r>
      <w:r w:rsidR="0052732D" w:rsidRPr="003C604B">
        <w:t>scores</w:t>
      </w:r>
      <w:r w:rsidR="00815A43" w:rsidRPr="003C604B">
        <w:t>,</w:t>
      </w:r>
      <w:r w:rsidR="00CA5F7D" w:rsidRPr="003C604B">
        <w:t xml:space="preserve"> </w:t>
      </w:r>
      <w:r w:rsidR="0052732D" w:rsidRPr="0052732D">
        <w:rPr>
          <w:highlight w:val="yellow"/>
        </w:rPr>
        <w:t xml:space="preserve">along with the possible range of scores for each variable, the average score on each variable for all students </w:t>
      </w:r>
      <w:r w:rsidR="005D1B29">
        <w:rPr>
          <w:highlight w:val="yellow"/>
        </w:rPr>
        <w:t>completing</w:t>
      </w:r>
      <w:r w:rsidR="0052732D" w:rsidRPr="0052732D">
        <w:rPr>
          <w:highlight w:val="yellow"/>
        </w:rPr>
        <w:t xml:space="preserve"> the survey, </w:t>
      </w:r>
      <w:r w:rsidR="00CA5F7D" w:rsidRPr="0052732D">
        <w:rPr>
          <w:highlight w:val="yellow"/>
        </w:rPr>
        <w:t>educational information</w:t>
      </w:r>
      <w:r w:rsidR="0052732D" w:rsidRPr="0052732D">
        <w:rPr>
          <w:highlight w:val="yellow"/>
        </w:rPr>
        <w:t xml:space="preserve"> about each variable</w:t>
      </w:r>
      <w:r w:rsidR="00815A43" w:rsidRPr="0052732D">
        <w:rPr>
          <w:highlight w:val="yellow"/>
        </w:rPr>
        <w:t>,</w:t>
      </w:r>
      <w:r w:rsidR="00CA5F7D" w:rsidRPr="0052732D">
        <w:rPr>
          <w:highlight w:val="yellow"/>
        </w:rPr>
        <w:t xml:space="preserve"> and </w:t>
      </w:r>
      <w:r w:rsidR="0052732D" w:rsidRPr="0052732D">
        <w:rPr>
          <w:highlight w:val="yellow"/>
        </w:rPr>
        <w:t xml:space="preserve">a list of </w:t>
      </w:r>
      <w:r w:rsidR="00CA5F7D" w:rsidRPr="0052732D">
        <w:rPr>
          <w:highlight w:val="yellow"/>
        </w:rPr>
        <w:t xml:space="preserve">campus </w:t>
      </w:r>
      <w:r w:rsidR="00BC5E07">
        <w:rPr>
          <w:highlight w:val="yellow"/>
        </w:rPr>
        <w:t xml:space="preserve">academic, financial, health and wellness, </w:t>
      </w:r>
      <w:r w:rsidR="00F71955">
        <w:rPr>
          <w:highlight w:val="yellow"/>
        </w:rPr>
        <w:t xml:space="preserve">and </w:t>
      </w:r>
      <w:r w:rsidR="00BC5E07">
        <w:rPr>
          <w:highlight w:val="yellow"/>
        </w:rPr>
        <w:t>safety</w:t>
      </w:r>
      <w:r w:rsidR="00F71955">
        <w:rPr>
          <w:highlight w:val="yellow"/>
        </w:rPr>
        <w:t xml:space="preserve"> </w:t>
      </w:r>
      <w:r w:rsidR="00CA5F7D" w:rsidRPr="0052732D">
        <w:rPr>
          <w:highlight w:val="yellow"/>
        </w:rPr>
        <w:t xml:space="preserve">resources to support their </w:t>
      </w:r>
      <w:r w:rsidR="000732C8" w:rsidRPr="0052732D">
        <w:rPr>
          <w:highlight w:val="yellow"/>
        </w:rPr>
        <w:t>mental health</w:t>
      </w:r>
      <w:r w:rsidR="0052732D" w:rsidRPr="0052732D">
        <w:rPr>
          <w:highlight w:val="yellow"/>
        </w:rPr>
        <w:t xml:space="preserve">. The personal feedback profile provided an </w:t>
      </w:r>
      <w:r w:rsidR="00BD084F">
        <w:rPr>
          <w:highlight w:val="yellow"/>
        </w:rPr>
        <w:t>educational opportunity</w:t>
      </w:r>
      <w:r w:rsidR="0052732D">
        <w:rPr>
          <w:highlight w:val="yellow"/>
        </w:rPr>
        <w:t xml:space="preserve"> </w:t>
      </w:r>
      <w:r w:rsidR="006F3E64">
        <w:rPr>
          <w:highlight w:val="yellow"/>
        </w:rPr>
        <w:t xml:space="preserve">and expressed our </w:t>
      </w:r>
      <w:r w:rsidR="002E28DC">
        <w:rPr>
          <w:highlight w:val="yellow"/>
        </w:rPr>
        <w:t>appreciation</w:t>
      </w:r>
      <w:r w:rsidR="0052732D" w:rsidRPr="0052732D">
        <w:rPr>
          <w:highlight w:val="yellow"/>
        </w:rPr>
        <w:t xml:space="preserve"> </w:t>
      </w:r>
      <w:r w:rsidR="006F3E64">
        <w:rPr>
          <w:highlight w:val="yellow"/>
        </w:rPr>
        <w:t xml:space="preserve">to </w:t>
      </w:r>
      <w:r w:rsidR="0052732D" w:rsidRPr="0052732D">
        <w:rPr>
          <w:highlight w:val="yellow"/>
        </w:rPr>
        <w:t xml:space="preserve">students for </w:t>
      </w:r>
      <w:r w:rsidR="00F71955">
        <w:rPr>
          <w:highlight w:val="yellow"/>
        </w:rPr>
        <w:t>their participation</w:t>
      </w:r>
      <w:r w:rsidR="0052732D" w:rsidRPr="00895201">
        <w:rPr>
          <w:highlight w:val="yellow"/>
        </w:rPr>
        <w:t>.</w:t>
      </w:r>
      <w:r w:rsidR="00895201" w:rsidRPr="00895201">
        <w:rPr>
          <w:highlight w:val="yellow"/>
        </w:rPr>
        <w:t xml:space="preserve"> Research team members were available to discuss students’ personal feedback profile </w:t>
      </w:r>
      <w:r w:rsidR="003C604B">
        <w:rPr>
          <w:highlight w:val="yellow"/>
        </w:rPr>
        <w:t xml:space="preserve">and answer </w:t>
      </w:r>
      <w:r w:rsidR="004C480D">
        <w:rPr>
          <w:highlight w:val="yellow"/>
        </w:rPr>
        <w:t xml:space="preserve">any </w:t>
      </w:r>
      <w:r w:rsidR="003C604B">
        <w:rPr>
          <w:highlight w:val="yellow"/>
        </w:rPr>
        <w:t xml:space="preserve">questions </w:t>
      </w:r>
      <w:r w:rsidR="00895201" w:rsidRPr="00895201">
        <w:rPr>
          <w:highlight w:val="yellow"/>
        </w:rPr>
        <w:t>upon request.</w:t>
      </w:r>
    </w:p>
    <w:p w14:paraId="74D29946" w14:textId="77777777" w:rsidR="00EF0E3D" w:rsidRDefault="00EF0E3D" w:rsidP="0049642C">
      <w:pPr>
        <w:spacing w:line="480" w:lineRule="auto"/>
        <w:rPr>
          <w:b/>
          <w:bCs/>
        </w:rPr>
      </w:pPr>
    </w:p>
    <w:p w14:paraId="3F8FC807" w14:textId="771B7E8B" w:rsidR="00C96F41" w:rsidRPr="00257F7A" w:rsidRDefault="00DE06FB" w:rsidP="0049642C">
      <w:pPr>
        <w:spacing w:line="480" w:lineRule="auto"/>
        <w:rPr>
          <w:b/>
          <w:bCs/>
        </w:rPr>
      </w:pPr>
      <w:r w:rsidRPr="00257F7A">
        <w:rPr>
          <w:b/>
          <w:bCs/>
        </w:rPr>
        <w:lastRenderedPageBreak/>
        <w:t xml:space="preserve">Survey </w:t>
      </w:r>
      <w:r w:rsidR="00C96F41" w:rsidRPr="00257F7A">
        <w:rPr>
          <w:b/>
          <w:bCs/>
        </w:rPr>
        <w:t>Measures</w:t>
      </w:r>
    </w:p>
    <w:p w14:paraId="3A00B367" w14:textId="3A6FC8FF" w:rsidR="00EC7C32" w:rsidRPr="004B544C" w:rsidRDefault="004B435E" w:rsidP="004B544C">
      <w:pPr>
        <w:spacing w:line="480" w:lineRule="auto"/>
        <w:ind w:firstLine="720"/>
        <w:rPr>
          <w:b/>
          <w:bCs/>
        </w:rPr>
      </w:pPr>
      <w:r w:rsidRPr="004B544C">
        <w:rPr>
          <w:b/>
          <w:bCs/>
          <w:i/>
          <w:iCs/>
        </w:rPr>
        <w:t>Generalized Anxiety</w:t>
      </w:r>
      <w:r w:rsidR="00766F63">
        <w:rPr>
          <w:b/>
          <w:bCs/>
          <w:i/>
          <w:iCs/>
        </w:rPr>
        <w:t xml:space="preserve"> Symptoms</w:t>
      </w:r>
      <w:r w:rsidR="004B544C">
        <w:rPr>
          <w:b/>
          <w:bCs/>
        </w:rPr>
        <w:t xml:space="preserve">. </w:t>
      </w:r>
      <w:r w:rsidRPr="00257F7A">
        <w:t xml:space="preserve">Anxiety </w:t>
      </w:r>
      <w:r w:rsidR="00766F63">
        <w:t xml:space="preserve">symptoms </w:t>
      </w:r>
      <w:r w:rsidRPr="00257F7A">
        <w:t>w</w:t>
      </w:r>
      <w:r w:rsidR="00766F63">
        <w:t>ere</w:t>
      </w:r>
      <w:r w:rsidRPr="00257F7A">
        <w:t xml:space="preserve"> assessed using the 7-item Generalized Anxiety Disorder questionnaire (GAD-7) which measures symptoms of participants</w:t>
      </w:r>
      <w:r w:rsidR="00755342" w:rsidRPr="00257F7A">
        <w:t>’</w:t>
      </w:r>
      <w:r w:rsidRPr="00257F7A">
        <w:t xml:space="preserve"> severity of anxiety (Spitzer</w:t>
      </w:r>
      <w:r w:rsidR="00E73C17" w:rsidRPr="00257F7A">
        <w:t xml:space="preserve"> et al., </w:t>
      </w:r>
      <w:r w:rsidRPr="00257F7A">
        <w:t>2006)</w:t>
      </w:r>
      <w:r w:rsidR="008A3B3D">
        <w:t xml:space="preserve">. </w:t>
      </w:r>
      <w:r w:rsidR="008A3B3D" w:rsidRPr="008A3B3D">
        <w:rPr>
          <w:highlight w:val="yellow"/>
        </w:rPr>
        <w:t xml:space="preserve">The scale has demonstrated excellent </w:t>
      </w:r>
      <w:r w:rsidR="008A3B3D">
        <w:rPr>
          <w:highlight w:val="yellow"/>
        </w:rPr>
        <w:t xml:space="preserve">internal </w:t>
      </w:r>
      <w:r w:rsidR="008A3B3D" w:rsidRPr="008A3B3D">
        <w:rPr>
          <w:highlight w:val="yellow"/>
        </w:rPr>
        <w:t>consistency (</w:t>
      </w:r>
      <w:r w:rsidR="008A3B3D" w:rsidRPr="008A3B3D">
        <w:rPr>
          <w:i/>
          <w:iCs/>
          <w:highlight w:val="yellow"/>
        </w:rPr>
        <w:t>α</w:t>
      </w:r>
      <w:r w:rsidR="008A3B3D" w:rsidRPr="008A3B3D">
        <w:rPr>
          <w:highlight w:val="yellow"/>
        </w:rPr>
        <w:t xml:space="preserve"> = .91) and mostly excellent internal and external validity among college undergraduate students (</w:t>
      </w:r>
      <w:proofErr w:type="spellStart"/>
      <w:r w:rsidR="008A3B3D" w:rsidRPr="008A3B3D">
        <w:rPr>
          <w:highlight w:val="yellow"/>
        </w:rPr>
        <w:t>Sriken</w:t>
      </w:r>
      <w:proofErr w:type="spellEnd"/>
      <w:r w:rsidR="008A3B3D" w:rsidRPr="008A3B3D">
        <w:rPr>
          <w:highlight w:val="yellow"/>
        </w:rPr>
        <w:t xml:space="preserve"> et al., 2022).</w:t>
      </w:r>
      <w:r w:rsidR="008A3B3D">
        <w:t xml:space="preserve"> </w:t>
      </w:r>
      <w:r w:rsidRPr="008A3B3D">
        <w:rPr>
          <w:highlight w:val="yellow"/>
        </w:rPr>
        <w:t xml:space="preserve">Participants </w:t>
      </w:r>
      <w:r w:rsidR="008A3B3D" w:rsidRPr="008A3B3D">
        <w:rPr>
          <w:highlight w:val="yellow"/>
        </w:rPr>
        <w:t>in the current study</w:t>
      </w:r>
      <w:r w:rsidR="008A3B3D">
        <w:t xml:space="preserve"> </w:t>
      </w:r>
      <w:r w:rsidRPr="00257F7A">
        <w:t>reported how often they were bothered by such problems as “worrying too much about different things</w:t>
      </w:r>
      <w:r w:rsidR="006A0B6E">
        <w:t>,</w:t>
      </w:r>
      <w:r w:rsidRPr="00257F7A">
        <w:t xml:space="preserve">” and “feeling nervous, anxious or on edge” over the past </w:t>
      </w:r>
      <w:r w:rsidR="006B6090">
        <w:t>two</w:t>
      </w:r>
      <w:r w:rsidRPr="00257F7A">
        <w:t xml:space="preserve"> weeks on a scale ranging from 0 (</w:t>
      </w:r>
      <w:r w:rsidRPr="00257F7A">
        <w:rPr>
          <w:i/>
          <w:iCs/>
        </w:rPr>
        <w:t>not at all</w:t>
      </w:r>
      <w:r w:rsidRPr="00257F7A">
        <w:t>) to 3 (</w:t>
      </w:r>
      <w:r w:rsidRPr="00257F7A">
        <w:rPr>
          <w:i/>
          <w:iCs/>
        </w:rPr>
        <w:t>nearly every day</w:t>
      </w:r>
      <w:r w:rsidRPr="00257F7A">
        <w:t xml:space="preserve">). </w:t>
      </w:r>
      <w:r w:rsidR="00880D0C" w:rsidRPr="00257F7A">
        <w:t xml:space="preserve">Scale responses were </w:t>
      </w:r>
      <w:r w:rsidR="006E2CB3" w:rsidRPr="00257F7A">
        <w:t>summed</w:t>
      </w:r>
      <w:r w:rsidR="00880D0C" w:rsidRPr="00257F7A">
        <w:t xml:space="preserve"> </w:t>
      </w:r>
      <w:r w:rsidR="00DB5B4A" w:rsidRPr="00257F7A">
        <w:t>with</w:t>
      </w:r>
      <w:r w:rsidR="00880D0C" w:rsidRPr="00257F7A">
        <w:t xml:space="preserve"> </w:t>
      </w:r>
      <w:r w:rsidR="00D27971">
        <w:t>possible scores ranging from 0-21</w:t>
      </w:r>
      <w:r w:rsidR="001360A7">
        <w:t>. S</w:t>
      </w:r>
      <w:r w:rsidR="00BA5FD8">
        <w:t xml:space="preserve">cores </w:t>
      </w:r>
      <w:r w:rsidR="0025519F">
        <w:t>≥</w:t>
      </w:r>
      <w:r w:rsidR="002F7F5A">
        <w:t xml:space="preserve"> </w:t>
      </w:r>
      <w:r w:rsidR="0025519F">
        <w:t>5,</w:t>
      </w:r>
      <w:r w:rsidR="002F7F5A">
        <w:t xml:space="preserve"> </w:t>
      </w:r>
      <w:r w:rsidR="0025519F">
        <w:t>≥</w:t>
      </w:r>
      <w:r w:rsidR="002F7F5A">
        <w:t xml:space="preserve"> </w:t>
      </w:r>
      <w:r w:rsidR="0025519F">
        <w:t>10, and ≥</w:t>
      </w:r>
      <w:r w:rsidR="002F7F5A">
        <w:t xml:space="preserve"> </w:t>
      </w:r>
      <w:r w:rsidR="0025519F">
        <w:t>15 indicat</w:t>
      </w:r>
      <w:r w:rsidR="001360A7">
        <w:t>e</w:t>
      </w:r>
      <w:r w:rsidR="0025519F">
        <w:t xml:space="preserve"> mild, moderate, and severe anxiety</w:t>
      </w:r>
      <w:r w:rsidR="002F7F5A">
        <w:t>,</w:t>
      </w:r>
      <w:r w:rsidR="0025519F">
        <w:t xml:space="preserve"> respectively</w:t>
      </w:r>
      <w:r w:rsidR="003C7310">
        <w:t xml:space="preserve"> (</w:t>
      </w:r>
      <w:r w:rsidR="003C7310" w:rsidRPr="005843FC">
        <w:t>Spitzer et al., 2006)</w:t>
      </w:r>
      <w:r w:rsidR="00880D0C" w:rsidRPr="00257F7A">
        <w:t xml:space="preserve">. </w:t>
      </w:r>
      <w:r w:rsidRPr="00257F7A">
        <w:t>The</w:t>
      </w:r>
      <w:r w:rsidR="00E56B6E">
        <w:t xml:space="preserve"> </w:t>
      </w:r>
      <w:r w:rsidRPr="00257F7A">
        <w:t>reliability of the GAD-7 was high (</w:t>
      </w:r>
      <w:r w:rsidRPr="00E909EF">
        <w:rPr>
          <w:i/>
          <w:iCs/>
        </w:rPr>
        <w:t>α</w:t>
      </w:r>
      <w:r w:rsidRPr="00257F7A">
        <w:t xml:space="preserve"> = .91).</w:t>
      </w:r>
    </w:p>
    <w:p w14:paraId="58FFC106" w14:textId="6D7EA5F7" w:rsidR="00C96F41" w:rsidRPr="004B544C" w:rsidRDefault="00C96F41" w:rsidP="004B544C">
      <w:pPr>
        <w:spacing w:line="480" w:lineRule="auto"/>
        <w:ind w:firstLine="720"/>
        <w:rPr>
          <w:b/>
          <w:bCs/>
        </w:rPr>
      </w:pPr>
      <w:r w:rsidRPr="004B544C">
        <w:rPr>
          <w:b/>
          <w:bCs/>
          <w:i/>
          <w:iCs/>
        </w:rPr>
        <w:t>Resilience</w:t>
      </w:r>
      <w:r w:rsidR="004B544C">
        <w:rPr>
          <w:b/>
          <w:bCs/>
        </w:rPr>
        <w:t xml:space="preserve">. </w:t>
      </w:r>
      <w:r w:rsidR="004B544C">
        <w:t>R</w:t>
      </w:r>
      <w:r w:rsidR="00A73D5B" w:rsidRPr="00257F7A">
        <w:t xml:space="preserve">esilience was </w:t>
      </w:r>
      <w:r w:rsidR="00D73BE6" w:rsidRPr="00257F7A">
        <w:t>assessed using the 6-item Brief Resilience Scale (BRS) which measures participants</w:t>
      </w:r>
      <w:r w:rsidR="00755342" w:rsidRPr="00257F7A">
        <w:t>’</w:t>
      </w:r>
      <w:r w:rsidR="00D73BE6" w:rsidRPr="00257F7A">
        <w:t xml:space="preserve"> self-reported ability to adapt to or recover from stress (Smith et al</w:t>
      </w:r>
      <w:r w:rsidR="00E53ADF">
        <w:t>.,</w:t>
      </w:r>
      <w:r w:rsidR="00D73BE6" w:rsidRPr="00257F7A">
        <w:t xml:space="preserve"> 2008)</w:t>
      </w:r>
      <w:r w:rsidR="00FC4A87">
        <w:t xml:space="preserve">. </w:t>
      </w:r>
      <w:r w:rsidR="00FC4A87" w:rsidRPr="00FC4A87">
        <w:rPr>
          <w:highlight w:val="yellow"/>
        </w:rPr>
        <w:t xml:space="preserve">The BRS was </w:t>
      </w:r>
      <w:r w:rsidR="00FC4A87">
        <w:rPr>
          <w:highlight w:val="yellow"/>
        </w:rPr>
        <w:t>designed</w:t>
      </w:r>
      <w:r w:rsidR="00FC4A87" w:rsidRPr="00FC4A87">
        <w:rPr>
          <w:highlight w:val="yellow"/>
        </w:rPr>
        <w:t xml:space="preserve"> for use with </w:t>
      </w:r>
      <w:r w:rsidR="00FC4A87">
        <w:rPr>
          <w:highlight w:val="yellow"/>
        </w:rPr>
        <w:t>undergraduate</w:t>
      </w:r>
      <w:r w:rsidR="00FC4A87" w:rsidRPr="00FC4A87">
        <w:rPr>
          <w:highlight w:val="yellow"/>
        </w:rPr>
        <w:t xml:space="preserve"> students </w:t>
      </w:r>
      <w:r w:rsidR="003D44C9">
        <w:rPr>
          <w:highlight w:val="yellow"/>
        </w:rPr>
        <w:t>(Smith e</w:t>
      </w:r>
      <w:r w:rsidR="000F1BA5">
        <w:rPr>
          <w:highlight w:val="yellow"/>
        </w:rPr>
        <w:t>t</w:t>
      </w:r>
      <w:r w:rsidR="003D44C9">
        <w:rPr>
          <w:highlight w:val="yellow"/>
        </w:rPr>
        <w:t xml:space="preserve"> al., 2008) </w:t>
      </w:r>
      <w:r w:rsidR="00FC4A87" w:rsidRPr="00FC4A87">
        <w:rPr>
          <w:highlight w:val="yellow"/>
        </w:rPr>
        <w:t>and has continued to demonstrate sound psychometric properties</w:t>
      </w:r>
      <w:r w:rsidR="00E56B6E">
        <w:rPr>
          <w:highlight w:val="yellow"/>
        </w:rPr>
        <w:t xml:space="preserve"> in this population</w:t>
      </w:r>
      <w:r w:rsidR="00FC4A87" w:rsidRPr="00FC4A87">
        <w:rPr>
          <w:highlight w:val="yellow"/>
        </w:rPr>
        <w:t xml:space="preserve"> (Julian et al., 2022)</w:t>
      </w:r>
      <w:r w:rsidR="00CE3C19" w:rsidRPr="00FC4A87">
        <w:rPr>
          <w:highlight w:val="yellow"/>
        </w:rPr>
        <w:t>.</w:t>
      </w:r>
      <w:r w:rsidR="00CE3C19" w:rsidRPr="00257F7A">
        <w:t xml:space="preserve"> Participants responded to sample statements including </w:t>
      </w:r>
      <w:r w:rsidR="00D73BE6" w:rsidRPr="00257F7A">
        <w:t>“I tend to bounce back quickly after hard times</w:t>
      </w:r>
      <w:r w:rsidR="006A0B6E">
        <w:t>,</w:t>
      </w:r>
      <w:r w:rsidR="00D73BE6" w:rsidRPr="00257F7A">
        <w:t xml:space="preserve">” </w:t>
      </w:r>
      <w:r w:rsidR="004157FB" w:rsidRPr="00257F7A">
        <w:t xml:space="preserve">and </w:t>
      </w:r>
      <w:r w:rsidR="00D73BE6" w:rsidRPr="00257F7A">
        <w:t>“It does not take me long to recover from a stressful event</w:t>
      </w:r>
      <w:r w:rsidR="006A0B6E">
        <w:t>.</w:t>
      </w:r>
      <w:r w:rsidR="00D73BE6" w:rsidRPr="00257F7A">
        <w:t xml:space="preserve">” </w:t>
      </w:r>
      <w:r w:rsidR="00D04272" w:rsidRPr="00257F7A">
        <w:t>on a scale ranging from 1 (</w:t>
      </w:r>
      <w:r w:rsidR="00D04272" w:rsidRPr="00257F7A">
        <w:rPr>
          <w:i/>
          <w:iCs/>
        </w:rPr>
        <w:t>strongly disagree</w:t>
      </w:r>
      <w:r w:rsidR="00D04272" w:rsidRPr="00257F7A">
        <w:t>) to 5 (</w:t>
      </w:r>
      <w:r w:rsidR="00D04272" w:rsidRPr="00257F7A">
        <w:rPr>
          <w:i/>
          <w:iCs/>
        </w:rPr>
        <w:t>strongly agree</w:t>
      </w:r>
      <w:r w:rsidR="00D04272" w:rsidRPr="00257F7A">
        <w:t>)</w:t>
      </w:r>
      <w:r w:rsidR="00CE3C19" w:rsidRPr="00257F7A">
        <w:t>.</w:t>
      </w:r>
      <w:r w:rsidR="00D73BE6" w:rsidRPr="00257F7A">
        <w:t xml:space="preserve"> </w:t>
      </w:r>
      <w:r w:rsidR="00880D0C" w:rsidRPr="00257F7A">
        <w:t xml:space="preserve">As Smith </w:t>
      </w:r>
      <w:r w:rsidR="000F1BA5">
        <w:t>and colleagues</w:t>
      </w:r>
      <w:r w:rsidR="00880D0C" w:rsidRPr="00257F7A">
        <w:t xml:space="preserve"> (2008) suggest, a total resilience score was obtained by reverse-coding items 2, 4, and 6 and then calculating the mean of the </w:t>
      </w:r>
      <w:r w:rsidR="00F402A7">
        <w:t>six</w:t>
      </w:r>
      <w:r w:rsidR="00880D0C" w:rsidRPr="00257F7A">
        <w:t xml:space="preserve"> items</w:t>
      </w:r>
      <w:r w:rsidR="00622092">
        <w:t>.</w:t>
      </w:r>
      <w:r w:rsidR="00F402A7">
        <w:t xml:space="preserve"> </w:t>
      </w:r>
      <w:r w:rsidR="00622092">
        <w:t>Possible</w:t>
      </w:r>
      <w:r w:rsidR="00F402A7">
        <w:t xml:space="preserve"> scores </w:t>
      </w:r>
      <w:r w:rsidR="00622092">
        <w:t>range</w:t>
      </w:r>
      <w:r w:rsidR="00F402A7">
        <w:t xml:space="preserve"> from 1-5</w:t>
      </w:r>
      <w:r w:rsidR="00622092">
        <w:t xml:space="preserve"> with higher scores indicating greater resilience</w:t>
      </w:r>
      <w:r w:rsidR="00880D0C" w:rsidRPr="00257F7A">
        <w:t>.</w:t>
      </w:r>
      <w:r w:rsidR="00D73BE6" w:rsidRPr="00257F7A">
        <w:t xml:space="preserve"> </w:t>
      </w:r>
      <w:r w:rsidR="00244287" w:rsidRPr="00257F7A">
        <w:t>The</w:t>
      </w:r>
      <w:r w:rsidR="00C6136C">
        <w:rPr>
          <w:bCs/>
          <w:color w:val="000000"/>
        </w:rPr>
        <w:t xml:space="preserve"> </w:t>
      </w:r>
      <w:r w:rsidR="005441FF" w:rsidRPr="00257F7A">
        <w:t>reliability of the BRS was high (</w:t>
      </w:r>
      <w:r w:rsidR="005441FF" w:rsidRPr="00E909EF">
        <w:rPr>
          <w:i/>
          <w:iCs/>
        </w:rPr>
        <w:t>α</w:t>
      </w:r>
      <w:r w:rsidR="005441FF" w:rsidRPr="00257F7A">
        <w:t xml:space="preserve"> = .84).</w:t>
      </w:r>
    </w:p>
    <w:p w14:paraId="7A52EF70" w14:textId="0FB5A3C6" w:rsidR="00A66B50" w:rsidRPr="004B544C" w:rsidRDefault="00E44261" w:rsidP="004C7FF9">
      <w:pPr>
        <w:spacing w:line="480" w:lineRule="auto"/>
        <w:ind w:firstLine="720"/>
        <w:rPr>
          <w:b/>
          <w:bCs/>
          <w:i/>
          <w:iCs/>
        </w:rPr>
      </w:pPr>
      <w:r w:rsidRPr="004B544C">
        <w:rPr>
          <w:b/>
          <w:bCs/>
          <w:i/>
          <w:iCs/>
        </w:rPr>
        <w:t xml:space="preserve">Positive </w:t>
      </w:r>
      <w:r w:rsidR="00E6692E" w:rsidRPr="004B544C">
        <w:rPr>
          <w:b/>
          <w:bCs/>
          <w:i/>
          <w:iCs/>
        </w:rPr>
        <w:t>College</w:t>
      </w:r>
      <w:r w:rsidR="00A7782C" w:rsidRPr="004B544C">
        <w:rPr>
          <w:b/>
          <w:bCs/>
          <w:i/>
          <w:iCs/>
        </w:rPr>
        <w:t xml:space="preserve"> Experience</w:t>
      </w:r>
      <w:r w:rsidR="008F4928" w:rsidRPr="004B544C">
        <w:rPr>
          <w:b/>
          <w:bCs/>
          <w:i/>
          <w:iCs/>
        </w:rPr>
        <w:t>s</w:t>
      </w:r>
      <w:r w:rsidR="004B544C">
        <w:rPr>
          <w:b/>
          <w:bCs/>
          <w:i/>
          <w:iCs/>
        </w:rPr>
        <w:t xml:space="preserve">. </w:t>
      </w:r>
      <w:r w:rsidR="00E6692E" w:rsidRPr="00257F7A">
        <w:rPr>
          <w:color w:val="000000"/>
        </w:rPr>
        <w:t>Gallup</w:t>
      </w:r>
      <w:r w:rsidR="00366A5B">
        <w:rPr>
          <w:color w:val="000000"/>
        </w:rPr>
        <w:t>’s</w:t>
      </w:r>
      <w:r w:rsidR="00E6692E" w:rsidRPr="00257F7A">
        <w:rPr>
          <w:color w:val="000000"/>
        </w:rPr>
        <w:t xml:space="preserve"> </w:t>
      </w:r>
      <w:r w:rsidR="00D25A53">
        <w:rPr>
          <w:color w:val="000000"/>
        </w:rPr>
        <w:t>“</w:t>
      </w:r>
      <w:r w:rsidR="00855FBE" w:rsidRPr="00257F7A">
        <w:rPr>
          <w:color w:val="000000"/>
        </w:rPr>
        <w:t>B</w:t>
      </w:r>
      <w:r w:rsidR="00E6692E" w:rsidRPr="00257F7A">
        <w:rPr>
          <w:color w:val="000000"/>
        </w:rPr>
        <w:t xml:space="preserve">ig </w:t>
      </w:r>
      <w:r w:rsidR="00855FBE" w:rsidRPr="00257F7A">
        <w:rPr>
          <w:color w:val="000000"/>
        </w:rPr>
        <w:t>S</w:t>
      </w:r>
      <w:r w:rsidR="00E6692E" w:rsidRPr="00257F7A">
        <w:rPr>
          <w:color w:val="000000"/>
        </w:rPr>
        <w:t>ix</w:t>
      </w:r>
      <w:r w:rsidR="00D25A53">
        <w:rPr>
          <w:color w:val="000000"/>
        </w:rPr>
        <w:t>”</w:t>
      </w:r>
      <w:r w:rsidR="00E6692E" w:rsidRPr="00257F7A">
        <w:rPr>
          <w:color w:val="000000"/>
        </w:rPr>
        <w:t xml:space="preserve"> </w:t>
      </w:r>
      <w:r>
        <w:rPr>
          <w:color w:val="000000"/>
        </w:rPr>
        <w:t xml:space="preserve">scale </w:t>
      </w:r>
      <w:r w:rsidR="00366A5B">
        <w:rPr>
          <w:color w:val="000000"/>
        </w:rPr>
        <w:t xml:space="preserve">was used to </w:t>
      </w:r>
      <w:r w:rsidR="00D23F5C" w:rsidRPr="00257F7A">
        <w:rPr>
          <w:color w:val="000000"/>
        </w:rPr>
        <w:t>measure</w:t>
      </w:r>
      <w:r w:rsidR="00091E3E" w:rsidRPr="00257F7A">
        <w:rPr>
          <w:color w:val="000000"/>
        </w:rPr>
        <w:t xml:space="preserve"> </w:t>
      </w:r>
      <w:r w:rsidR="005E1A8A">
        <w:t>participant</w:t>
      </w:r>
      <w:r w:rsidR="00A7782C" w:rsidRPr="00257F7A">
        <w:t xml:space="preserve"> experience</w:t>
      </w:r>
      <w:r w:rsidR="00091E3E" w:rsidRPr="00257F7A">
        <w:t>s</w:t>
      </w:r>
      <w:r w:rsidR="00A7782C" w:rsidRPr="00257F7A">
        <w:t xml:space="preserve"> of </w:t>
      </w:r>
      <w:r w:rsidR="003B44B1">
        <w:t xml:space="preserve">institutional </w:t>
      </w:r>
      <w:r w:rsidR="00A7782C" w:rsidRPr="00257F7A">
        <w:t xml:space="preserve">support and </w:t>
      </w:r>
      <w:r w:rsidR="00E35B2E">
        <w:t xml:space="preserve">experiential learning </w:t>
      </w:r>
      <w:r w:rsidR="00764292" w:rsidRPr="00257F7A">
        <w:rPr>
          <w:bCs/>
          <w:color w:val="000000"/>
        </w:rPr>
        <w:t>(</w:t>
      </w:r>
      <w:r w:rsidR="00A357BB" w:rsidRPr="00257F7A">
        <w:rPr>
          <w:bCs/>
          <w:color w:val="000000"/>
        </w:rPr>
        <w:t>Gallup-Purdue Index, 2014</w:t>
      </w:r>
      <w:r w:rsidR="00764292" w:rsidRPr="00257F7A">
        <w:rPr>
          <w:bCs/>
          <w:color w:val="000000"/>
        </w:rPr>
        <w:t>)</w:t>
      </w:r>
      <w:r w:rsidR="00167415" w:rsidRPr="00257F7A">
        <w:rPr>
          <w:bCs/>
          <w:color w:val="000000"/>
        </w:rPr>
        <w:t xml:space="preserve">. </w:t>
      </w:r>
      <w:r w:rsidR="000D78B0" w:rsidRPr="00257F7A">
        <w:rPr>
          <w:bCs/>
          <w:color w:val="000000"/>
        </w:rPr>
        <w:t xml:space="preserve">Items </w:t>
      </w:r>
      <w:r w:rsidR="000D78B0" w:rsidRPr="00257F7A">
        <w:rPr>
          <w:bCs/>
          <w:color w:val="000000"/>
        </w:rPr>
        <w:lastRenderedPageBreak/>
        <w:t xml:space="preserve">were adapted to reflect </w:t>
      </w:r>
      <w:r w:rsidR="00DB5B4A" w:rsidRPr="00257F7A">
        <w:rPr>
          <w:bCs/>
          <w:color w:val="000000"/>
        </w:rPr>
        <w:t>students’</w:t>
      </w:r>
      <w:r w:rsidR="000D78B0" w:rsidRPr="00257F7A">
        <w:rPr>
          <w:bCs/>
          <w:color w:val="000000"/>
        </w:rPr>
        <w:t xml:space="preserve"> current college experience</w:t>
      </w:r>
      <w:r w:rsidR="002E28B2" w:rsidRPr="00257F7A">
        <w:rPr>
          <w:bCs/>
          <w:color w:val="000000"/>
        </w:rPr>
        <w:t>s</w:t>
      </w:r>
      <w:r w:rsidR="000D78B0" w:rsidRPr="00257F7A">
        <w:rPr>
          <w:bCs/>
          <w:color w:val="000000"/>
        </w:rPr>
        <w:t xml:space="preserve">. </w:t>
      </w:r>
      <w:r w:rsidR="00AB3070">
        <w:rPr>
          <w:bCs/>
          <w:color w:val="000000"/>
        </w:rPr>
        <w:t>E</w:t>
      </w:r>
      <w:r w:rsidR="00E019E4">
        <w:rPr>
          <w:bCs/>
          <w:color w:val="000000"/>
        </w:rPr>
        <w:t xml:space="preserve">xperiences of </w:t>
      </w:r>
      <w:r w:rsidR="006B52CA">
        <w:rPr>
          <w:bCs/>
          <w:color w:val="000000"/>
        </w:rPr>
        <w:t xml:space="preserve">institutional support </w:t>
      </w:r>
      <w:r w:rsidR="00AB3070">
        <w:rPr>
          <w:bCs/>
          <w:color w:val="000000"/>
        </w:rPr>
        <w:t xml:space="preserve">were assessed by the following items: </w:t>
      </w:r>
      <w:r w:rsidR="00CA50C8" w:rsidRPr="00257F7A">
        <w:rPr>
          <w:bCs/>
          <w:color w:val="000000"/>
        </w:rPr>
        <w:t>“</w:t>
      </w:r>
      <w:r w:rsidR="00167415" w:rsidRPr="00257F7A">
        <w:rPr>
          <w:bCs/>
          <w:iCs/>
          <w:color w:val="000000"/>
        </w:rPr>
        <w:t>My professors care about me as a person</w:t>
      </w:r>
      <w:r w:rsidR="006A0B6E">
        <w:rPr>
          <w:bCs/>
          <w:iCs/>
          <w:color w:val="000000"/>
        </w:rPr>
        <w:t>,</w:t>
      </w:r>
      <w:r w:rsidR="00CA50C8" w:rsidRPr="00257F7A">
        <w:rPr>
          <w:bCs/>
          <w:iCs/>
          <w:color w:val="000000"/>
        </w:rPr>
        <w:t>”</w:t>
      </w:r>
      <w:r w:rsidR="00167415" w:rsidRPr="00257F7A">
        <w:rPr>
          <w:bCs/>
          <w:color w:val="000000"/>
        </w:rPr>
        <w:t xml:space="preserve"> </w:t>
      </w:r>
      <w:r w:rsidR="00CA50C8" w:rsidRPr="00257F7A">
        <w:rPr>
          <w:bCs/>
          <w:color w:val="000000"/>
        </w:rPr>
        <w:t>“</w:t>
      </w:r>
      <w:r w:rsidR="00167415" w:rsidRPr="00257F7A">
        <w:rPr>
          <w:bCs/>
          <w:color w:val="000000"/>
        </w:rPr>
        <w:t xml:space="preserve">I </w:t>
      </w:r>
      <w:r w:rsidR="000D78B0" w:rsidRPr="00257F7A">
        <w:rPr>
          <w:bCs/>
          <w:color w:val="000000"/>
        </w:rPr>
        <w:t>have</w:t>
      </w:r>
      <w:r w:rsidR="00167415" w:rsidRPr="00257F7A">
        <w:rPr>
          <w:bCs/>
          <w:color w:val="000000"/>
        </w:rPr>
        <w:t xml:space="preserve"> a mentor who encourage</w:t>
      </w:r>
      <w:r w:rsidR="000D78B0" w:rsidRPr="00257F7A">
        <w:rPr>
          <w:bCs/>
          <w:color w:val="000000"/>
        </w:rPr>
        <w:t>s</w:t>
      </w:r>
      <w:r w:rsidR="00167415" w:rsidRPr="00257F7A">
        <w:rPr>
          <w:bCs/>
          <w:color w:val="000000"/>
        </w:rPr>
        <w:t xml:space="preserve"> me to pursue my goals and dreams</w:t>
      </w:r>
      <w:r w:rsidR="006A0B6E">
        <w:rPr>
          <w:bCs/>
          <w:color w:val="000000"/>
        </w:rPr>
        <w:t>,</w:t>
      </w:r>
      <w:r w:rsidR="00CA50C8" w:rsidRPr="00257F7A">
        <w:rPr>
          <w:bCs/>
          <w:color w:val="000000"/>
        </w:rPr>
        <w:t>”</w:t>
      </w:r>
      <w:r w:rsidR="00167415" w:rsidRPr="00257F7A">
        <w:rPr>
          <w:bCs/>
          <w:color w:val="000000"/>
        </w:rPr>
        <w:t xml:space="preserve"> </w:t>
      </w:r>
      <w:r w:rsidR="00880D0C" w:rsidRPr="00257F7A">
        <w:rPr>
          <w:bCs/>
          <w:color w:val="000000"/>
        </w:rPr>
        <w:t>and</w:t>
      </w:r>
      <w:r w:rsidR="00A66B50" w:rsidRPr="00257F7A">
        <w:rPr>
          <w:bCs/>
          <w:color w:val="000000"/>
        </w:rPr>
        <w:t xml:space="preserve"> </w:t>
      </w:r>
      <w:r w:rsidR="006B52CA">
        <w:rPr>
          <w:bCs/>
          <w:color w:val="000000"/>
        </w:rPr>
        <w:t xml:space="preserve">“I had </w:t>
      </w:r>
      <w:r w:rsidR="0028221C">
        <w:rPr>
          <w:bCs/>
          <w:color w:val="000000"/>
        </w:rPr>
        <w:t xml:space="preserve">(or have) </w:t>
      </w:r>
      <w:r w:rsidR="006B52CA">
        <w:rPr>
          <w:bCs/>
          <w:color w:val="000000"/>
        </w:rPr>
        <w:t xml:space="preserve">at least one professor who made me excited about learning.” Items assessing experiential learning </w:t>
      </w:r>
      <w:r w:rsidR="002619E4">
        <w:rPr>
          <w:bCs/>
          <w:color w:val="000000"/>
        </w:rPr>
        <w:t>included the following</w:t>
      </w:r>
      <w:r w:rsidR="00AB3070">
        <w:rPr>
          <w:bCs/>
          <w:color w:val="000000"/>
        </w:rPr>
        <w:t>:</w:t>
      </w:r>
      <w:r w:rsidR="006B52CA">
        <w:rPr>
          <w:bCs/>
          <w:color w:val="000000"/>
        </w:rPr>
        <w:t xml:space="preserve"> </w:t>
      </w:r>
      <w:r w:rsidR="00A66B50" w:rsidRPr="00257F7A">
        <w:rPr>
          <w:bCs/>
          <w:color w:val="000000"/>
        </w:rPr>
        <w:t>“I am extremely active in extracurricular activities and organizations</w:t>
      </w:r>
      <w:r w:rsidR="006B52CA">
        <w:rPr>
          <w:bCs/>
          <w:color w:val="000000"/>
        </w:rPr>
        <w:t>,</w:t>
      </w:r>
      <w:r w:rsidR="00A66B50" w:rsidRPr="00257F7A">
        <w:rPr>
          <w:bCs/>
          <w:color w:val="000000"/>
        </w:rPr>
        <w:t>”</w:t>
      </w:r>
      <w:r w:rsidR="00880D0C" w:rsidRPr="00257F7A">
        <w:rPr>
          <w:bCs/>
          <w:color w:val="000000"/>
        </w:rPr>
        <w:t xml:space="preserve"> </w:t>
      </w:r>
      <w:r w:rsidR="006B52CA">
        <w:rPr>
          <w:bCs/>
          <w:color w:val="000000"/>
        </w:rPr>
        <w:t xml:space="preserve">“I worked </w:t>
      </w:r>
      <w:r w:rsidR="000941C3">
        <w:rPr>
          <w:bCs/>
          <w:color w:val="000000"/>
        </w:rPr>
        <w:t xml:space="preserve">(am working) </w:t>
      </w:r>
      <w:r w:rsidR="006B52CA">
        <w:rPr>
          <w:bCs/>
          <w:color w:val="000000"/>
        </w:rPr>
        <w:t xml:space="preserve">on a project that took a semester or more to complete,” and “I </w:t>
      </w:r>
      <w:r w:rsidR="0028221C">
        <w:rPr>
          <w:bCs/>
          <w:color w:val="000000"/>
        </w:rPr>
        <w:t xml:space="preserve">had (or </w:t>
      </w:r>
      <w:r w:rsidR="006B52CA">
        <w:rPr>
          <w:bCs/>
          <w:color w:val="000000"/>
        </w:rPr>
        <w:t>have</w:t>
      </w:r>
      <w:r w:rsidR="0028221C">
        <w:rPr>
          <w:bCs/>
          <w:color w:val="000000"/>
        </w:rPr>
        <w:t>)</w:t>
      </w:r>
      <w:r w:rsidR="006B52CA">
        <w:rPr>
          <w:bCs/>
          <w:color w:val="000000"/>
        </w:rPr>
        <w:t xml:space="preserve"> an internship or job that allow</w:t>
      </w:r>
      <w:r w:rsidR="00783A22">
        <w:rPr>
          <w:bCs/>
          <w:color w:val="000000"/>
        </w:rPr>
        <w:t>ed</w:t>
      </w:r>
      <w:r w:rsidR="006B52CA">
        <w:rPr>
          <w:bCs/>
          <w:color w:val="000000"/>
        </w:rPr>
        <w:t xml:space="preserve"> me to apply what I </w:t>
      </w:r>
      <w:r w:rsidR="00783A22">
        <w:rPr>
          <w:bCs/>
          <w:color w:val="000000"/>
        </w:rPr>
        <w:t>was</w:t>
      </w:r>
      <w:r w:rsidR="006B52CA">
        <w:rPr>
          <w:bCs/>
          <w:color w:val="000000"/>
        </w:rPr>
        <w:t xml:space="preserve"> learning in the classroom.” </w:t>
      </w:r>
      <w:r w:rsidR="00880D0C" w:rsidRPr="00257F7A">
        <w:rPr>
          <w:bCs/>
          <w:color w:val="000000"/>
        </w:rPr>
        <w:t xml:space="preserve">Response options ranged </w:t>
      </w:r>
      <w:r w:rsidR="00CA50C8" w:rsidRPr="00257F7A">
        <w:rPr>
          <w:bCs/>
          <w:color w:val="000000"/>
        </w:rPr>
        <w:t>from 1 (</w:t>
      </w:r>
      <w:r w:rsidR="00CA50C8" w:rsidRPr="00257F7A">
        <w:rPr>
          <w:bCs/>
          <w:i/>
          <w:iCs/>
          <w:color w:val="000000"/>
        </w:rPr>
        <w:t xml:space="preserve">strongly </w:t>
      </w:r>
      <w:r w:rsidR="00091E3E" w:rsidRPr="00257F7A">
        <w:rPr>
          <w:bCs/>
          <w:i/>
          <w:iCs/>
          <w:color w:val="000000"/>
        </w:rPr>
        <w:t>dis</w:t>
      </w:r>
      <w:r w:rsidR="00CA50C8" w:rsidRPr="00257F7A">
        <w:rPr>
          <w:bCs/>
          <w:i/>
          <w:iCs/>
          <w:color w:val="000000"/>
        </w:rPr>
        <w:t>agree</w:t>
      </w:r>
      <w:r w:rsidR="00CA50C8" w:rsidRPr="00257F7A">
        <w:rPr>
          <w:bCs/>
          <w:color w:val="000000"/>
        </w:rPr>
        <w:t xml:space="preserve">) to </w:t>
      </w:r>
      <w:r w:rsidR="00247D8A">
        <w:rPr>
          <w:bCs/>
          <w:color w:val="000000"/>
        </w:rPr>
        <w:t>5</w:t>
      </w:r>
      <w:r w:rsidR="00CA50C8" w:rsidRPr="00257F7A">
        <w:rPr>
          <w:bCs/>
          <w:color w:val="000000"/>
        </w:rPr>
        <w:t xml:space="preserve"> (</w:t>
      </w:r>
      <w:r w:rsidR="00CA50C8" w:rsidRPr="00257F7A">
        <w:rPr>
          <w:bCs/>
          <w:i/>
          <w:iCs/>
          <w:color w:val="000000"/>
        </w:rPr>
        <w:t>strongly agree</w:t>
      </w:r>
      <w:r w:rsidR="00CA50C8" w:rsidRPr="00257F7A">
        <w:rPr>
          <w:bCs/>
          <w:color w:val="000000"/>
        </w:rPr>
        <w:t xml:space="preserve">). </w:t>
      </w:r>
      <w:r w:rsidR="00880D0C" w:rsidRPr="00257F7A">
        <w:t xml:space="preserve">Scale responses were summed with a higher total score representing </w:t>
      </w:r>
      <w:r w:rsidR="001327A1" w:rsidRPr="00257F7A">
        <w:t>greater</w:t>
      </w:r>
      <w:r w:rsidR="00091E3E" w:rsidRPr="00257F7A">
        <w:t xml:space="preserve"> undergraduate experience</w:t>
      </w:r>
      <w:r w:rsidR="001327A1" w:rsidRPr="00257F7A">
        <w:t xml:space="preserve">s of support and </w:t>
      </w:r>
      <w:r w:rsidR="00366A5B">
        <w:t xml:space="preserve">experiential </w:t>
      </w:r>
      <w:r w:rsidR="001327A1" w:rsidRPr="00257F7A">
        <w:t>learning</w:t>
      </w:r>
      <w:r w:rsidR="00880D0C" w:rsidRPr="00257F7A">
        <w:t xml:space="preserve">. </w:t>
      </w:r>
      <w:r w:rsidR="00CA50C8" w:rsidRPr="00257F7A">
        <w:rPr>
          <w:bCs/>
          <w:color w:val="000000"/>
        </w:rPr>
        <w:t>The</w:t>
      </w:r>
      <w:r w:rsidR="00C6136C">
        <w:rPr>
          <w:bCs/>
          <w:color w:val="000000"/>
        </w:rPr>
        <w:t xml:space="preserve"> </w:t>
      </w:r>
      <w:r w:rsidR="00CA50C8" w:rsidRPr="00257F7A">
        <w:rPr>
          <w:bCs/>
          <w:color w:val="000000"/>
        </w:rPr>
        <w:t xml:space="preserve">reliability of the </w:t>
      </w:r>
      <w:r>
        <w:rPr>
          <w:bCs/>
          <w:color w:val="000000"/>
        </w:rPr>
        <w:t>Gallup scale</w:t>
      </w:r>
      <w:r w:rsidR="00CA50C8" w:rsidRPr="00257F7A">
        <w:rPr>
          <w:bCs/>
          <w:color w:val="000000"/>
        </w:rPr>
        <w:t xml:space="preserve"> was </w:t>
      </w:r>
      <w:r w:rsidR="006A0B6E">
        <w:rPr>
          <w:bCs/>
          <w:color w:val="000000"/>
        </w:rPr>
        <w:t xml:space="preserve">marginally </w:t>
      </w:r>
      <w:r w:rsidR="00E560B8" w:rsidRPr="00257F7A">
        <w:rPr>
          <w:bCs/>
          <w:color w:val="000000"/>
        </w:rPr>
        <w:t>acceptable</w:t>
      </w:r>
      <w:r w:rsidR="00CA50C8" w:rsidRPr="00257F7A">
        <w:rPr>
          <w:bCs/>
          <w:color w:val="000000"/>
        </w:rPr>
        <w:t xml:space="preserve"> </w:t>
      </w:r>
      <w:r w:rsidR="00CA50C8" w:rsidRPr="00257F7A">
        <w:t>(</w:t>
      </w:r>
      <w:r w:rsidR="00CA50C8" w:rsidRPr="00E909EF">
        <w:rPr>
          <w:i/>
          <w:iCs/>
        </w:rPr>
        <w:t>α</w:t>
      </w:r>
      <w:r w:rsidR="00CA50C8" w:rsidRPr="00257F7A">
        <w:t xml:space="preserve"> =</w:t>
      </w:r>
      <w:r w:rsidR="00E560B8" w:rsidRPr="00257F7A">
        <w:t>.</w:t>
      </w:r>
      <w:r w:rsidR="008D6856" w:rsidRPr="00257F7A">
        <w:t>60</w:t>
      </w:r>
      <w:r w:rsidR="00CA50C8" w:rsidRPr="00257F7A">
        <w:t>).</w:t>
      </w:r>
    </w:p>
    <w:p w14:paraId="541DD8EE" w14:textId="4062318E" w:rsidR="00C96F41" w:rsidRPr="00257F7A" w:rsidRDefault="00C96F41" w:rsidP="0049642C">
      <w:pPr>
        <w:spacing w:line="480" w:lineRule="auto"/>
        <w:rPr>
          <w:b/>
          <w:bCs/>
          <w:lang w:val="en-GB"/>
        </w:rPr>
      </w:pPr>
      <w:r w:rsidRPr="00257F7A">
        <w:rPr>
          <w:b/>
          <w:bCs/>
          <w:lang w:val="en-GB"/>
        </w:rPr>
        <w:t>Data Analysis</w:t>
      </w:r>
    </w:p>
    <w:p w14:paraId="1213F339" w14:textId="41676881" w:rsidR="00CA50C8" w:rsidRPr="00257F7A" w:rsidRDefault="00E56CE1" w:rsidP="00540112">
      <w:pPr>
        <w:spacing w:line="480" w:lineRule="auto"/>
        <w:ind w:firstLine="720"/>
      </w:pPr>
      <w:r w:rsidRPr="00257F7A">
        <w:rPr>
          <w:bCs/>
          <w:color w:val="000000"/>
        </w:rPr>
        <w:t>D</w:t>
      </w:r>
      <w:r w:rsidR="00132C7F" w:rsidRPr="00257F7A">
        <w:rPr>
          <w:bCs/>
          <w:color w:val="000000"/>
        </w:rPr>
        <w:t>escriptive statistics</w:t>
      </w:r>
      <w:r w:rsidRPr="00257F7A">
        <w:rPr>
          <w:bCs/>
          <w:color w:val="000000"/>
        </w:rPr>
        <w:t xml:space="preserve"> were summarized using SPSS Version </w:t>
      </w:r>
      <w:r w:rsidR="00224374" w:rsidRPr="00257F7A">
        <w:rPr>
          <w:bCs/>
          <w:color w:val="000000"/>
        </w:rPr>
        <w:t>2</w:t>
      </w:r>
      <w:r w:rsidR="00224374">
        <w:rPr>
          <w:bCs/>
          <w:color w:val="000000"/>
        </w:rPr>
        <w:t xml:space="preserve">8 </w:t>
      </w:r>
      <w:r w:rsidRPr="00257F7A">
        <w:rPr>
          <w:bCs/>
          <w:color w:val="000000"/>
        </w:rPr>
        <w:t>(Armonk, NY)</w:t>
      </w:r>
      <w:r w:rsidR="00132C7F" w:rsidRPr="00257F7A">
        <w:rPr>
          <w:bCs/>
          <w:color w:val="000000"/>
        </w:rPr>
        <w:t xml:space="preserve">. </w:t>
      </w:r>
      <w:r w:rsidRPr="00257F7A">
        <w:rPr>
          <w:bCs/>
          <w:color w:val="000000"/>
        </w:rPr>
        <w:t xml:space="preserve">To examine the </w:t>
      </w:r>
      <w:r w:rsidR="00132C7F" w:rsidRPr="00257F7A">
        <w:rPr>
          <w:bCs/>
          <w:color w:val="000000"/>
        </w:rPr>
        <w:t xml:space="preserve">moderating effect of </w:t>
      </w:r>
      <w:r w:rsidR="001327A1" w:rsidRPr="00257F7A">
        <w:rPr>
          <w:bCs/>
          <w:color w:val="000000"/>
        </w:rPr>
        <w:t xml:space="preserve">undergraduate </w:t>
      </w:r>
      <w:r w:rsidR="00473E3A">
        <w:rPr>
          <w:bCs/>
          <w:color w:val="000000"/>
        </w:rPr>
        <w:t xml:space="preserve">positive </w:t>
      </w:r>
      <w:r w:rsidR="006B0AA2">
        <w:rPr>
          <w:bCs/>
          <w:color w:val="000000"/>
        </w:rPr>
        <w:t xml:space="preserve">college </w:t>
      </w:r>
      <w:r w:rsidR="001327A1" w:rsidRPr="00257F7A">
        <w:rPr>
          <w:bCs/>
          <w:color w:val="000000"/>
        </w:rPr>
        <w:t>experience</w:t>
      </w:r>
      <w:r w:rsidR="006B0AA2">
        <w:rPr>
          <w:bCs/>
          <w:color w:val="000000"/>
        </w:rPr>
        <w:t>s</w:t>
      </w:r>
      <w:r w:rsidR="00132C7F" w:rsidRPr="00257F7A">
        <w:rPr>
          <w:bCs/>
          <w:color w:val="000000"/>
        </w:rPr>
        <w:t xml:space="preserve"> on the association between resilience and generalized anxiety</w:t>
      </w:r>
      <w:r w:rsidR="00766F63">
        <w:rPr>
          <w:bCs/>
          <w:color w:val="000000"/>
        </w:rPr>
        <w:t xml:space="preserve"> symptoms</w:t>
      </w:r>
      <w:r w:rsidR="00863290" w:rsidRPr="00257F7A">
        <w:rPr>
          <w:bCs/>
          <w:color w:val="000000"/>
        </w:rPr>
        <w:t xml:space="preserve">, </w:t>
      </w:r>
      <w:r w:rsidR="00DF7CE1">
        <w:rPr>
          <w:bCs/>
          <w:color w:val="000000"/>
        </w:rPr>
        <w:t xml:space="preserve">concurrent </w:t>
      </w:r>
      <w:r w:rsidR="00863290" w:rsidRPr="00257F7A">
        <w:rPr>
          <w:bCs/>
          <w:color w:val="000000"/>
        </w:rPr>
        <w:t xml:space="preserve">hierarchical multiple regression </w:t>
      </w:r>
      <w:r w:rsidR="00544D97">
        <w:rPr>
          <w:bCs/>
          <w:color w:val="000000"/>
        </w:rPr>
        <w:t xml:space="preserve">analyses </w:t>
      </w:r>
      <w:r w:rsidR="002D7011">
        <w:rPr>
          <w:bCs/>
          <w:color w:val="000000"/>
        </w:rPr>
        <w:t>were</w:t>
      </w:r>
      <w:r w:rsidR="002D7011" w:rsidRPr="00257F7A">
        <w:rPr>
          <w:bCs/>
          <w:color w:val="000000"/>
        </w:rPr>
        <w:t xml:space="preserve"> </w:t>
      </w:r>
      <w:r w:rsidR="00863290" w:rsidRPr="00257F7A">
        <w:rPr>
          <w:bCs/>
          <w:color w:val="000000"/>
        </w:rPr>
        <w:t>performed</w:t>
      </w:r>
      <w:r w:rsidR="00132C7F" w:rsidRPr="00257F7A">
        <w:rPr>
          <w:bCs/>
          <w:color w:val="000000"/>
        </w:rPr>
        <w:t xml:space="preserve">. </w:t>
      </w:r>
      <w:r w:rsidR="00A64919">
        <w:rPr>
          <w:bCs/>
          <w:color w:val="000000"/>
        </w:rPr>
        <w:t>D</w:t>
      </w:r>
      <w:r w:rsidR="00132C7F" w:rsidRPr="00257F7A">
        <w:rPr>
          <w:bCs/>
          <w:color w:val="000000"/>
        </w:rPr>
        <w:t>emographic variables</w:t>
      </w:r>
      <w:r w:rsidR="00A64919">
        <w:rPr>
          <w:bCs/>
          <w:color w:val="000000"/>
        </w:rPr>
        <w:t>—</w:t>
      </w:r>
      <w:r w:rsidR="00132C7F" w:rsidRPr="00257F7A">
        <w:rPr>
          <w:bCs/>
          <w:color w:val="000000"/>
        </w:rPr>
        <w:t xml:space="preserve">age, sex, race/ethnicity, first-generation status, </w:t>
      </w:r>
      <w:r w:rsidR="004D2184" w:rsidRPr="00257F7A">
        <w:rPr>
          <w:bCs/>
          <w:color w:val="000000"/>
        </w:rPr>
        <w:t xml:space="preserve">and </w:t>
      </w:r>
      <w:r w:rsidR="00132C7F" w:rsidRPr="00257F7A">
        <w:rPr>
          <w:bCs/>
          <w:color w:val="000000"/>
        </w:rPr>
        <w:t>living status</w:t>
      </w:r>
      <w:r w:rsidR="00A64919">
        <w:rPr>
          <w:bCs/>
          <w:color w:val="000000"/>
        </w:rPr>
        <w:t>—</w:t>
      </w:r>
      <w:r w:rsidR="00132C7F" w:rsidRPr="00257F7A">
        <w:rPr>
          <w:bCs/>
          <w:color w:val="000000"/>
        </w:rPr>
        <w:t>were included in the model as covariates</w:t>
      </w:r>
      <w:r w:rsidR="004B435E" w:rsidRPr="00257F7A">
        <w:rPr>
          <w:bCs/>
          <w:color w:val="000000"/>
        </w:rPr>
        <w:t>. C</w:t>
      </w:r>
      <w:r w:rsidR="00132C7F" w:rsidRPr="00257F7A">
        <w:rPr>
          <w:bCs/>
          <w:color w:val="000000"/>
        </w:rPr>
        <w:t>ontinuous predictor variables were mean</w:t>
      </w:r>
      <w:r w:rsidR="00581363">
        <w:rPr>
          <w:bCs/>
          <w:color w:val="000000"/>
        </w:rPr>
        <w:t>-</w:t>
      </w:r>
      <w:r w:rsidR="00132C7F" w:rsidRPr="00257F7A">
        <w:rPr>
          <w:bCs/>
          <w:color w:val="000000"/>
        </w:rPr>
        <w:t>centered</w:t>
      </w:r>
      <w:r w:rsidR="00FD72D3">
        <w:rPr>
          <w:bCs/>
          <w:color w:val="000000"/>
        </w:rPr>
        <w:t xml:space="preserve"> before the interaction term was computed</w:t>
      </w:r>
      <w:r w:rsidR="00132C7F" w:rsidRPr="00257F7A">
        <w:rPr>
          <w:bCs/>
          <w:color w:val="000000"/>
        </w:rPr>
        <w:t xml:space="preserve"> to reduce collinearity. The hierarchical regression model consisted of </w:t>
      </w:r>
      <w:r w:rsidR="006B6090">
        <w:rPr>
          <w:bCs/>
          <w:color w:val="000000"/>
        </w:rPr>
        <w:t>three</w:t>
      </w:r>
      <w:r w:rsidR="00132C7F" w:rsidRPr="00257F7A">
        <w:rPr>
          <w:bCs/>
          <w:color w:val="000000"/>
        </w:rPr>
        <w:t xml:space="preserve"> </w:t>
      </w:r>
      <w:r w:rsidR="00794A4B">
        <w:rPr>
          <w:bCs/>
          <w:color w:val="000000"/>
        </w:rPr>
        <w:t>steps</w:t>
      </w:r>
      <w:r w:rsidR="00132C7F" w:rsidRPr="00257F7A">
        <w:rPr>
          <w:bCs/>
          <w:color w:val="000000"/>
        </w:rPr>
        <w:t xml:space="preserve">: 1) regression of anxiety on demographic variables; </w:t>
      </w:r>
      <w:r w:rsidR="00F45BD4" w:rsidRPr="00257F7A">
        <w:rPr>
          <w:bCs/>
          <w:color w:val="000000"/>
        </w:rPr>
        <w:t>2) addition of the focal predictors</w:t>
      </w:r>
      <w:r w:rsidR="00A84A37">
        <w:rPr>
          <w:bCs/>
          <w:color w:val="000000"/>
        </w:rPr>
        <w:t>,</w:t>
      </w:r>
      <w:r w:rsidR="00F45BD4" w:rsidRPr="00257F7A">
        <w:rPr>
          <w:bCs/>
          <w:color w:val="000000"/>
        </w:rPr>
        <w:t xml:space="preserve"> </w:t>
      </w:r>
      <w:proofErr w:type="gramStart"/>
      <w:r w:rsidR="00840D59" w:rsidRPr="00257F7A">
        <w:rPr>
          <w:bCs/>
          <w:color w:val="000000"/>
        </w:rPr>
        <w:t>resilience</w:t>
      </w:r>
      <w:proofErr w:type="gramEnd"/>
      <w:r w:rsidR="006E2CB3" w:rsidRPr="00257F7A">
        <w:rPr>
          <w:bCs/>
          <w:color w:val="000000"/>
        </w:rPr>
        <w:t xml:space="preserve"> </w:t>
      </w:r>
      <w:r w:rsidR="00F45BD4" w:rsidRPr="00257F7A">
        <w:rPr>
          <w:bCs/>
          <w:color w:val="000000"/>
        </w:rPr>
        <w:t xml:space="preserve">and </w:t>
      </w:r>
      <w:r w:rsidR="00581363">
        <w:rPr>
          <w:bCs/>
          <w:color w:val="000000"/>
        </w:rPr>
        <w:t xml:space="preserve">positive </w:t>
      </w:r>
      <w:r w:rsidR="003673D2" w:rsidRPr="00257F7A">
        <w:rPr>
          <w:bCs/>
          <w:color w:val="000000"/>
        </w:rPr>
        <w:t>college</w:t>
      </w:r>
      <w:r w:rsidR="0037643B" w:rsidRPr="00257F7A">
        <w:rPr>
          <w:bCs/>
          <w:color w:val="000000"/>
        </w:rPr>
        <w:t xml:space="preserve"> experience</w:t>
      </w:r>
      <w:r w:rsidR="008F4928" w:rsidRPr="00257F7A">
        <w:rPr>
          <w:bCs/>
          <w:color w:val="000000"/>
        </w:rPr>
        <w:t>s</w:t>
      </w:r>
      <w:r w:rsidR="00F45BD4" w:rsidRPr="00257F7A">
        <w:rPr>
          <w:bCs/>
          <w:color w:val="000000"/>
        </w:rPr>
        <w:t xml:space="preserve">; and 3) calculation and inclusion of the interaction </w:t>
      </w:r>
      <w:r w:rsidR="00CD5039">
        <w:rPr>
          <w:bCs/>
          <w:color w:val="000000"/>
        </w:rPr>
        <w:t xml:space="preserve">term </w:t>
      </w:r>
      <w:r w:rsidR="00F45BD4" w:rsidRPr="00257F7A">
        <w:rPr>
          <w:bCs/>
          <w:color w:val="000000"/>
        </w:rPr>
        <w:t xml:space="preserve">between resilience and </w:t>
      </w:r>
      <w:r w:rsidR="00581363">
        <w:rPr>
          <w:bCs/>
          <w:color w:val="000000"/>
        </w:rPr>
        <w:t xml:space="preserve">positive </w:t>
      </w:r>
      <w:r w:rsidR="008F4928" w:rsidRPr="00257F7A">
        <w:rPr>
          <w:bCs/>
          <w:color w:val="000000"/>
        </w:rPr>
        <w:t>college experiences</w:t>
      </w:r>
      <w:r w:rsidR="00F45BD4" w:rsidRPr="00257F7A">
        <w:rPr>
          <w:bCs/>
          <w:color w:val="000000"/>
        </w:rPr>
        <w:t xml:space="preserve">. </w:t>
      </w:r>
      <w:r w:rsidR="00CA50C8" w:rsidRPr="00257F7A">
        <w:rPr>
          <w:iCs/>
        </w:rPr>
        <w:t>Post-hoc</w:t>
      </w:r>
      <w:r w:rsidR="00CA50C8" w:rsidRPr="00257F7A">
        <w:rPr>
          <w:i/>
          <w:iCs/>
        </w:rPr>
        <w:t xml:space="preserve"> </w:t>
      </w:r>
      <w:r w:rsidR="00CA50C8" w:rsidRPr="00257F7A">
        <w:t xml:space="preserve">probing of the interaction and simple slopes </w:t>
      </w:r>
      <w:r w:rsidR="001645E9">
        <w:t>was</w:t>
      </w:r>
      <w:r w:rsidR="001645E9" w:rsidRPr="00257F7A">
        <w:t xml:space="preserve"> </w:t>
      </w:r>
      <w:r w:rsidR="00CA50C8" w:rsidRPr="00257F7A">
        <w:t xml:space="preserve">performed </w:t>
      </w:r>
      <w:r w:rsidR="00F45BD4" w:rsidRPr="00257F7A">
        <w:t>to determine the association between resilience and anxiety</w:t>
      </w:r>
      <w:r w:rsidR="00FB3A2C">
        <w:t xml:space="preserve"> symptoms</w:t>
      </w:r>
      <w:r w:rsidR="00F45BD4" w:rsidRPr="00257F7A">
        <w:t xml:space="preserve"> at varying levels of </w:t>
      </w:r>
      <w:r w:rsidR="00581363">
        <w:t xml:space="preserve">positive </w:t>
      </w:r>
      <w:r w:rsidR="008F4928" w:rsidRPr="00257F7A">
        <w:t>college experiences</w:t>
      </w:r>
      <w:r w:rsidR="00F45BD4" w:rsidRPr="00257F7A">
        <w:t xml:space="preserve"> </w:t>
      </w:r>
      <w:r w:rsidR="00CA50C8" w:rsidRPr="00257F7A">
        <w:t xml:space="preserve">using </w:t>
      </w:r>
      <w:r w:rsidR="00F45BD4" w:rsidRPr="00257F7A">
        <w:t xml:space="preserve">the </w:t>
      </w:r>
      <w:r w:rsidR="00CA50C8" w:rsidRPr="00257F7A">
        <w:t>methods outlined by Aiken and West</w:t>
      </w:r>
      <w:r w:rsidR="00D0749A" w:rsidRPr="00257F7A">
        <w:t xml:space="preserve"> (1991).</w:t>
      </w:r>
      <w:r w:rsidR="00863290" w:rsidRPr="00257F7A">
        <w:t xml:space="preserve"> </w:t>
      </w:r>
    </w:p>
    <w:p w14:paraId="6AE49A12" w14:textId="4B3636F6" w:rsidR="00E54FE0" w:rsidRPr="00257F7A" w:rsidRDefault="004B544C" w:rsidP="004B544C">
      <w:pPr>
        <w:spacing w:line="480" w:lineRule="auto"/>
        <w:jc w:val="center"/>
        <w:rPr>
          <w:b/>
          <w:bCs/>
          <w:lang w:val="en-GB"/>
        </w:rPr>
      </w:pPr>
      <w:r>
        <w:rPr>
          <w:b/>
          <w:bCs/>
          <w:lang w:val="en-GB"/>
        </w:rPr>
        <w:lastRenderedPageBreak/>
        <w:t>Results</w:t>
      </w:r>
    </w:p>
    <w:p w14:paraId="4B2DC2B3" w14:textId="438C2368" w:rsidR="006F5643" w:rsidRDefault="00F04BF2" w:rsidP="00F11B91">
      <w:pPr>
        <w:spacing w:line="480" w:lineRule="auto"/>
        <w:ind w:firstLine="720"/>
      </w:pPr>
      <w:r w:rsidRPr="00257F7A">
        <w:t>Table 1 presents the</w:t>
      </w:r>
      <w:r w:rsidR="003577BE" w:rsidRPr="00257F7A">
        <w:t xml:space="preserve"> m</w:t>
      </w:r>
      <w:r w:rsidR="008646F3" w:rsidRPr="00257F7A">
        <w:rPr>
          <w:bCs/>
          <w:color w:val="000000"/>
        </w:rPr>
        <w:t xml:space="preserve">eans, standard deviations, and bivariate correlations for </w:t>
      </w:r>
      <w:r w:rsidR="00823E52" w:rsidRPr="00257F7A">
        <w:rPr>
          <w:bCs/>
          <w:color w:val="000000"/>
        </w:rPr>
        <w:t xml:space="preserve">the </w:t>
      </w:r>
      <w:r w:rsidR="00863290" w:rsidRPr="00257F7A">
        <w:rPr>
          <w:bCs/>
          <w:color w:val="000000"/>
        </w:rPr>
        <w:t xml:space="preserve">conceptual </w:t>
      </w:r>
      <w:r w:rsidR="00823E52" w:rsidRPr="00257F7A">
        <w:rPr>
          <w:bCs/>
          <w:color w:val="000000"/>
        </w:rPr>
        <w:t xml:space="preserve">model </w:t>
      </w:r>
      <w:r w:rsidR="008646F3" w:rsidRPr="00257F7A">
        <w:rPr>
          <w:bCs/>
          <w:color w:val="000000"/>
        </w:rPr>
        <w:t>variables</w:t>
      </w:r>
      <w:r w:rsidRPr="00257F7A">
        <w:rPr>
          <w:bCs/>
          <w:color w:val="000000"/>
        </w:rPr>
        <w:t>.</w:t>
      </w:r>
      <w:r w:rsidR="00071952">
        <w:t xml:space="preserve"> Students reported an </w:t>
      </w:r>
      <w:r w:rsidR="00071952" w:rsidRPr="005843FC">
        <w:t xml:space="preserve">average </w:t>
      </w:r>
      <w:r w:rsidR="00366A5B">
        <w:t xml:space="preserve">generalized </w:t>
      </w:r>
      <w:r w:rsidR="00071952" w:rsidRPr="005843FC">
        <w:t>anxiety level of 8.5</w:t>
      </w:r>
      <w:r w:rsidR="00764BCE" w:rsidRPr="005843FC">
        <w:t>8</w:t>
      </w:r>
      <w:r w:rsidR="00071952" w:rsidRPr="005843FC">
        <w:t xml:space="preserve"> (SD = 5.61)</w:t>
      </w:r>
      <w:r w:rsidR="003C7310">
        <w:t xml:space="preserve">, approaching a </w:t>
      </w:r>
      <w:r w:rsidR="00650CD7">
        <w:t>moderate</w:t>
      </w:r>
      <w:r w:rsidR="003C7310">
        <w:t xml:space="preserve"> level (≥ 10) of </w:t>
      </w:r>
      <w:r w:rsidR="00650CD7">
        <w:t>anxiety</w:t>
      </w:r>
      <w:r w:rsidR="003C7310">
        <w:t xml:space="preserve"> </w:t>
      </w:r>
      <w:r w:rsidR="00650CD7">
        <w:t>(</w:t>
      </w:r>
      <w:r w:rsidR="00071952" w:rsidRPr="005843FC">
        <w:t xml:space="preserve">Spitzer et al., 2006). </w:t>
      </w:r>
      <w:r w:rsidR="00DB7161" w:rsidRPr="005843FC">
        <w:t>Table 2 shows the regression results for the moderation model. Demographic covaria</w:t>
      </w:r>
      <w:r w:rsidR="00CA67AB" w:rsidRPr="005843FC">
        <w:t>t</w:t>
      </w:r>
      <w:r w:rsidR="00DB7161" w:rsidRPr="005843FC">
        <w:t xml:space="preserve">es including </w:t>
      </w:r>
      <w:r w:rsidR="002B145D" w:rsidRPr="005843FC">
        <w:rPr>
          <w:bCs/>
          <w:color w:val="000000"/>
        </w:rPr>
        <w:t>age, sex, race/ethnicity, first</w:t>
      </w:r>
      <w:r w:rsidR="005B502B" w:rsidRPr="005843FC">
        <w:rPr>
          <w:bCs/>
          <w:color w:val="000000"/>
        </w:rPr>
        <w:t>-</w:t>
      </w:r>
      <w:r w:rsidR="002B145D" w:rsidRPr="005843FC">
        <w:rPr>
          <w:bCs/>
          <w:color w:val="000000"/>
        </w:rPr>
        <w:t xml:space="preserve">generation status, </w:t>
      </w:r>
      <w:r w:rsidR="001A7A65" w:rsidRPr="005843FC">
        <w:rPr>
          <w:bCs/>
          <w:color w:val="000000"/>
        </w:rPr>
        <w:t xml:space="preserve">and </w:t>
      </w:r>
      <w:r w:rsidR="002B145D" w:rsidRPr="005843FC">
        <w:rPr>
          <w:bCs/>
          <w:color w:val="000000"/>
        </w:rPr>
        <w:t xml:space="preserve">living status were entered into Model 1 </w:t>
      </w:r>
      <w:r w:rsidR="005375FE">
        <w:rPr>
          <w:bCs/>
          <w:color w:val="000000"/>
        </w:rPr>
        <w:t>and</w:t>
      </w:r>
      <w:r w:rsidR="00961BA9" w:rsidRPr="005843FC">
        <w:rPr>
          <w:bCs/>
          <w:color w:val="000000"/>
        </w:rPr>
        <w:t xml:space="preserve"> </w:t>
      </w:r>
      <w:r w:rsidR="00DF08BA" w:rsidRPr="005843FC">
        <w:rPr>
          <w:bCs/>
          <w:color w:val="000000"/>
        </w:rPr>
        <w:t xml:space="preserve">did not account </w:t>
      </w:r>
      <w:r w:rsidR="005375FE">
        <w:rPr>
          <w:bCs/>
          <w:color w:val="000000"/>
        </w:rPr>
        <w:t xml:space="preserve">for </w:t>
      </w:r>
      <w:r w:rsidR="0005538B">
        <w:rPr>
          <w:bCs/>
          <w:color w:val="000000"/>
        </w:rPr>
        <w:t>significant</w:t>
      </w:r>
      <w:r w:rsidR="00DF08BA" w:rsidRPr="005843FC">
        <w:rPr>
          <w:bCs/>
          <w:color w:val="000000"/>
        </w:rPr>
        <w:t xml:space="preserve"> </w:t>
      </w:r>
      <w:r w:rsidR="002B145D" w:rsidRPr="005843FC">
        <w:rPr>
          <w:bCs/>
          <w:color w:val="000000"/>
        </w:rPr>
        <w:t>variance in anxiety</w:t>
      </w:r>
      <w:r w:rsidR="0005538B">
        <w:rPr>
          <w:bCs/>
          <w:color w:val="000000"/>
        </w:rPr>
        <w:t xml:space="preserve"> symptoms</w:t>
      </w:r>
      <w:r w:rsidR="002B145D" w:rsidRPr="005843FC">
        <w:rPr>
          <w:bCs/>
          <w:color w:val="000000"/>
        </w:rPr>
        <w:t xml:space="preserve"> (</w:t>
      </w:r>
      <w:r w:rsidR="002B145D" w:rsidRPr="005843FC">
        <w:rPr>
          <w:bCs/>
          <w:i/>
          <w:iCs/>
          <w:color w:val="000000"/>
        </w:rPr>
        <w:t>F</w:t>
      </w:r>
      <w:r w:rsidR="0085076F" w:rsidRPr="005843FC">
        <w:rPr>
          <w:bCs/>
          <w:color w:val="000000"/>
          <w:vertAlign w:val="subscript"/>
        </w:rPr>
        <w:t>8</w:t>
      </w:r>
      <w:r w:rsidR="00C44709" w:rsidRPr="005843FC">
        <w:rPr>
          <w:bCs/>
          <w:color w:val="000000"/>
          <w:vertAlign w:val="subscript"/>
        </w:rPr>
        <w:t>,4</w:t>
      </w:r>
      <w:r w:rsidR="00DF08BA" w:rsidRPr="005843FC">
        <w:rPr>
          <w:bCs/>
          <w:color w:val="000000"/>
          <w:vertAlign w:val="subscript"/>
        </w:rPr>
        <w:t>21</w:t>
      </w:r>
      <w:r w:rsidR="002B145D" w:rsidRPr="005843FC">
        <w:rPr>
          <w:bCs/>
          <w:color w:val="000000"/>
        </w:rPr>
        <w:t xml:space="preserve"> = </w:t>
      </w:r>
      <w:r w:rsidR="0085076F" w:rsidRPr="005843FC">
        <w:rPr>
          <w:bCs/>
          <w:color w:val="000000"/>
        </w:rPr>
        <w:t>1</w:t>
      </w:r>
      <w:r w:rsidR="001A7A65" w:rsidRPr="005843FC">
        <w:rPr>
          <w:bCs/>
          <w:color w:val="000000"/>
        </w:rPr>
        <w:t>.</w:t>
      </w:r>
      <w:r w:rsidR="00DF08BA" w:rsidRPr="005843FC">
        <w:rPr>
          <w:bCs/>
          <w:color w:val="000000"/>
        </w:rPr>
        <w:t>34</w:t>
      </w:r>
      <w:r w:rsidR="002B145D" w:rsidRPr="005843FC">
        <w:rPr>
          <w:bCs/>
          <w:color w:val="000000"/>
        </w:rPr>
        <w:t xml:space="preserve">, </w:t>
      </w:r>
      <w:r w:rsidR="002B145D" w:rsidRPr="005843FC">
        <w:rPr>
          <w:bCs/>
          <w:i/>
          <w:iCs/>
          <w:color w:val="000000"/>
        </w:rPr>
        <w:t>p</w:t>
      </w:r>
      <w:r w:rsidR="000E0926" w:rsidRPr="005843FC">
        <w:rPr>
          <w:bCs/>
          <w:i/>
          <w:iCs/>
          <w:color w:val="000000"/>
        </w:rPr>
        <w:t xml:space="preserve"> </w:t>
      </w:r>
      <w:r w:rsidR="00DF08BA" w:rsidRPr="005843FC">
        <w:rPr>
          <w:bCs/>
          <w:i/>
          <w:iCs/>
          <w:color w:val="000000"/>
        </w:rPr>
        <w:t>&gt;</w:t>
      </w:r>
      <w:r w:rsidR="000E0926" w:rsidRPr="005843FC">
        <w:rPr>
          <w:bCs/>
          <w:color w:val="000000"/>
        </w:rPr>
        <w:t xml:space="preserve"> </w:t>
      </w:r>
      <w:r w:rsidR="002B145D" w:rsidRPr="005843FC">
        <w:rPr>
          <w:bCs/>
          <w:color w:val="000000"/>
        </w:rPr>
        <w:t>.05). The focal predictors</w:t>
      </w:r>
      <w:r w:rsidR="00F03A1A" w:rsidRPr="005843FC">
        <w:rPr>
          <w:bCs/>
          <w:color w:val="000000"/>
        </w:rPr>
        <w:t xml:space="preserve"> of</w:t>
      </w:r>
      <w:r w:rsidR="002B145D" w:rsidRPr="005843FC">
        <w:rPr>
          <w:bCs/>
          <w:color w:val="000000"/>
        </w:rPr>
        <w:t xml:space="preserve"> resilience and </w:t>
      </w:r>
      <w:r w:rsidR="002B11F4">
        <w:rPr>
          <w:bCs/>
          <w:color w:val="000000"/>
        </w:rPr>
        <w:t xml:space="preserve">positive </w:t>
      </w:r>
      <w:r w:rsidR="008F4928" w:rsidRPr="005843FC">
        <w:rPr>
          <w:bCs/>
          <w:color w:val="000000"/>
        </w:rPr>
        <w:t>college experiences</w:t>
      </w:r>
      <w:r w:rsidR="002B145D" w:rsidRPr="005843FC">
        <w:rPr>
          <w:bCs/>
          <w:color w:val="000000"/>
        </w:rPr>
        <w:t xml:space="preserve"> were added in Model 2</w:t>
      </w:r>
      <w:r w:rsidR="004B435E" w:rsidRPr="005843FC">
        <w:rPr>
          <w:bCs/>
          <w:color w:val="000000"/>
        </w:rPr>
        <w:t>.</w:t>
      </w:r>
      <w:r w:rsidR="002B145D" w:rsidRPr="005843FC">
        <w:rPr>
          <w:bCs/>
          <w:color w:val="000000"/>
        </w:rPr>
        <w:t xml:space="preserve"> </w:t>
      </w:r>
      <w:r w:rsidR="003B15DF" w:rsidRPr="005843FC">
        <w:rPr>
          <w:bCs/>
          <w:color w:val="000000"/>
        </w:rPr>
        <w:t>R</w:t>
      </w:r>
      <w:r w:rsidR="002B145D" w:rsidRPr="005843FC">
        <w:rPr>
          <w:bCs/>
          <w:color w:val="000000"/>
        </w:rPr>
        <w:t>esilience</w:t>
      </w:r>
      <w:r w:rsidR="00923379" w:rsidRPr="005843FC">
        <w:rPr>
          <w:bCs/>
          <w:color w:val="000000"/>
        </w:rPr>
        <w:t xml:space="preserve"> </w:t>
      </w:r>
      <w:r w:rsidR="003B15DF" w:rsidRPr="005843FC">
        <w:rPr>
          <w:bCs/>
          <w:color w:val="000000"/>
        </w:rPr>
        <w:t xml:space="preserve">was </w:t>
      </w:r>
      <w:r w:rsidR="00020F16" w:rsidRPr="005843FC">
        <w:rPr>
          <w:bCs/>
          <w:color w:val="000000"/>
        </w:rPr>
        <w:t>inve</w:t>
      </w:r>
      <w:r w:rsidR="00923379" w:rsidRPr="005843FC">
        <w:rPr>
          <w:bCs/>
          <w:color w:val="000000"/>
        </w:rPr>
        <w:t>rse</w:t>
      </w:r>
      <w:r w:rsidR="003B15DF" w:rsidRPr="005843FC">
        <w:rPr>
          <w:bCs/>
          <w:color w:val="000000"/>
        </w:rPr>
        <w:t>ly</w:t>
      </w:r>
      <w:r w:rsidR="00923379" w:rsidRPr="005843FC">
        <w:rPr>
          <w:bCs/>
          <w:color w:val="000000"/>
        </w:rPr>
        <w:t xml:space="preserve"> associat</w:t>
      </w:r>
      <w:r w:rsidR="003B15DF" w:rsidRPr="005843FC">
        <w:rPr>
          <w:bCs/>
          <w:color w:val="000000"/>
        </w:rPr>
        <w:t>ed</w:t>
      </w:r>
      <w:r w:rsidR="00923379" w:rsidRPr="005843FC">
        <w:rPr>
          <w:bCs/>
          <w:color w:val="000000"/>
        </w:rPr>
        <w:t xml:space="preserve"> </w:t>
      </w:r>
      <w:r w:rsidR="004B435E" w:rsidRPr="005843FC">
        <w:rPr>
          <w:bCs/>
          <w:color w:val="000000"/>
        </w:rPr>
        <w:t>with anxiety</w:t>
      </w:r>
      <w:r w:rsidR="0005538B">
        <w:rPr>
          <w:bCs/>
          <w:color w:val="000000"/>
        </w:rPr>
        <w:t xml:space="preserve"> symptoms</w:t>
      </w:r>
      <w:r w:rsidR="003B15DF" w:rsidRPr="005843FC">
        <w:rPr>
          <w:bCs/>
          <w:color w:val="000000"/>
        </w:rPr>
        <w:t xml:space="preserve"> </w:t>
      </w:r>
      <w:r w:rsidR="003B15DF" w:rsidRPr="005843FC">
        <w:t>(</w:t>
      </w:r>
      <w:r w:rsidR="003B15DF" w:rsidRPr="005843FC">
        <w:rPr>
          <w:i/>
        </w:rPr>
        <w:t>β</w:t>
      </w:r>
      <w:r w:rsidR="003B15DF" w:rsidRPr="005843FC">
        <w:t xml:space="preserve"> = -.42, </w:t>
      </w:r>
      <w:r w:rsidR="003B15DF" w:rsidRPr="005843FC">
        <w:rPr>
          <w:i/>
        </w:rPr>
        <w:t xml:space="preserve">p </w:t>
      </w:r>
      <w:r w:rsidR="003B15DF" w:rsidRPr="005843FC">
        <w:t xml:space="preserve">&lt; .001), but </w:t>
      </w:r>
      <w:r w:rsidR="002B11F4">
        <w:t xml:space="preserve">positive </w:t>
      </w:r>
      <w:r w:rsidR="008F4928" w:rsidRPr="005843FC">
        <w:rPr>
          <w:bCs/>
          <w:color w:val="000000"/>
        </w:rPr>
        <w:t>college experiences</w:t>
      </w:r>
      <w:r w:rsidR="003B15DF" w:rsidRPr="005843FC">
        <w:rPr>
          <w:bCs/>
          <w:color w:val="000000"/>
        </w:rPr>
        <w:t xml:space="preserve"> w</w:t>
      </w:r>
      <w:r w:rsidR="00281962" w:rsidRPr="005843FC">
        <w:rPr>
          <w:bCs/>
          <w:color w:val="000000"/>
        </w:rPr>
        <w:t>ere</w:t>
      </w:r>
      <w:r w:rsidR="003B15DF" w:rsidRPr="005843FC">
        <w:rPr>
          <w:bCs/>
          <w:color w:val="000000"/>
        </w:rPr>
        <w:t xml:space="preserve"> not </w:t>
      </w:r>
      <w:r w:rsidR="003B15DF" w:rsidRPr="005843FC">
        <w:t>(</w:t>
      </w:r>
      <w:r w:rsidR="003B15DF" w:rsidRPr="005843FC">
        <w:rPr>
          <w:i/>
        </w:rPr>
        <w:t>β</w:t>
      </w:r>
      <w:r w:rsidR="003B15DF" w:rsidRPr="005843FC">
        <w:t xml:space="preserve"> = -.04, </w:t>
      </w:r>
      <w:r w:rsidR="003B15DF" w:rsidRPr="005843FC">
        <w:rPr>
          <w:i/>
        </w:rPr>
        <w:t xml:space="preserve">p </w:t>
      </w:r>
      <w:r w:rsidR="003B15DF" w:rsidRPr="005843FC">
        <w:t>&gt; .05)</w:t>
      </w:r>
      <w:r w:rsidR="003B15DF" w:rsidRPr="005843FC">
        <w:rPr>
          <w:bCs/>
          <w:color w:val="000000"/>
        </w:rPr>
        <w:t xml:space="preserve">. The focal predictors in Model 2 </w:t>
      </w:r>
      <w:r w:rsidR="002B145D" w:rsidRPr="005843FC">
        <w:rPr>
          <w:bCs/>
          <w:color w:val="000000"/>
        </w:rPr>
        <w:t>explain</w:t>
      </w:r>
      <w:r w:rsidR="003B15DF" w:rsidRPr="005843FC">
        <w:rPr>
          <w:bCs/>
          <w:color w:val="000000"/>
        </w:rPr>
        <w:t>ed</w:t>
      </w:r>
      <w:r w:rsidR="002B145D" w:rsidRPr="005843FC">
        <w:rPr>
          <w:bCs/>
          <w:color w:val="000000"/>
        </w:rPr>
        <w:t xml:space="preserve"> an additional </w:t>
      </w:r>
      <w:r w:rsidR="00D554D8" w:rsidRPr="005843FC">
        <w:rPr>
          <w:bCs/>
          <w:color w:val="000000"/>
        </w:rPr>
        <w:t>1</w:t>
      </w:r>
      <w:r w:rsidR="00366A5B">
        <w:rPr>
          <w:bCs/>
          <w:color w:val="000000"/>
        </w:rPr>
        <w:t>7</w:t>
      </w:r>
      <w:r w:rsidR="002B145D" w:rsidRPr="005843FC">
        <w:rPr>
          <w:bCs/>
          <w:color w:val="000000"/>
        </w:rPr>
        <w:t>% of the variance in anxiety</w:t>
      </w:r>
      <w:r w:rsidR="0005538B">
        <w:rPr>
          <w:bCs/>
          <w:color w:val="000000"/>
        </w:rPr>
        <w:t xml:space="preserve"> symptoms</w:t>
      </w:r>
      <w:r w:rsidR="002B145D" w:rsidRPr="005843FC">
        <w:rPr>
          <w:bCs/>
          <w:color w:val="000000"/>
        </w:rPr>
        <w:t xml:space="preserve"> (</w:t>
      </w:r>
      <w:r w:rsidR="002B145D" w:rsidRPr="005843FC">
        <w:rPr>
          <w:bCs/>
          <w:i/>
          <w:iCs/>
          <w:color w:val="000000"/>
        </w:rPr>
        <w:t>F</w:t>
      </w:r>
      <w:r w:rsidR="00216AE8" w:rsidRPr="005843FC">
        <w:rPr>
          <w:bCs/>
          <w:color w:val="000000"/>
          <w:vertAlign w:val="subscript"/>
        </w:rPr>
        <w:t>2,</w:t>
      </w:r>
      <w:r w:rsidR="002B145D" w:rsidRPr="005843FC">
        <w:rPr>
          <w:bCs/>
          <w:color w:val="000000"/>
          <w:vertAlign w:val="subscript"/>
        </w:rPr>
        <w:t xml:space="preserve"> </w:t>
      </w:r>
      <w:r w:rsidR="00C7592F" w:rsidRPr="005843FC">
        <w:rPr>
          <w:bCs/>
          <w:color w:val="000000"/>
          <w:vertAlign w:val="subscript"/>
        </w:rPr>
        <w:t>4</w:t>
      </w:r>
      <w:r w:rsidR="00961BA9" w:rsidRPr="005843FC">
        <w:rPr>
          <w:bCs/>
          <w:color w:val="000000"/>
          <w:vertAlign w:val="subscript"/>
        </w:rPr>
        <w:t>19</w:t>
      </w:r>
      <w:r w:rsidR="002B145D" w:rsidRPr="005843FC">
        <w:rPr>
          <w:bCs/>
          <w:color w:val="000000"/>
        </w:rPr>
        <w:t xml:space="preserve"> = </w:t>
      </w:r>
      <w:r w:rsidR="00726E19" w:rsidRPr="005843FC">
        <w:rPr>
          <w:bCs/>
          <w:color w:val="000000"/>
        </w:rPr>
        <w:t>4</w:t>
      </w:r>
      <w:r w:rsidR="00DF08BA" w:rsidRPr="005843FC">
        <w:rPr>
          <w:bCs/>
          <w:color w:val="000000"/>
        </w:rPr>
        <w:t>3</w:t>
      </w:r>
      <w:r w:rsidR="00726E19" w:rsidRPr="005843FC">
        <w:rPr>
          <w:bCs/>
          <w:color w:val="000000"/>
        </w:rPr>
        <w:t>.</w:t>
      </w:r>
      <w:r w:rsidR="00DF08BA" w:rsidRPr="005843FC">
        <w:rPr>
          <w:bCs/>
          <w:color w:val="000000"/>
        </w:rPr>
        <w:t>45</w:t>
      </w:r>
      <w:r w:rsidR="002B145D" w:rsidRPr="005843FC">
        <w:rPr>
          <w:bCs/>
          <w:color w:val="000000"/>
        </w:rPr>
        <w:t xml:space="preserve">, </w:t>
      </w:r>
      <w:r w:rsidR="002B145D" w:rsidRPr="005843FC">
        <w:rPr>
          <w:bCs/>
          <w:i/>
          <w:iCs/>
          <w:color w:val="000000"/>
        </w:rPr>
        <w:t>p</w:t>
      </w:r>
      <w:r w:rsidR="0040237E" w:rsidRPr="005843FC">
        <w:rPr>
          <w:bCs/>
          <w:i/>
          <w:iCs/>
          <w:color w:val="000000"/>
        </w:rPr>
        <w:t xml:space="preserve"> </w:t>
      </w:r>
      <w:r w:rsidR="002B145D" w:rsidRPr="005843FC">
        <w:rPr>
          <w:bCs/>
          <w:color w:val="000000"/>
        </w:rPr>
        <w:t>&lt;</w:t>
      </w:r>
      <w:r w:rsidR="0040237E" w:rsidRPr="005843FC">
        <w:rPr>
          <w:bCs/>
          <w:color w:val="000000"/>
        </w:rPr>
        <w:t xml:space="preserve"> </w:t>
      </w:r>
      <w:r w:rsidR="002B145D" w:rsidRPr="005843FC">
        <w:rPr>
          <w:bCs/>
          <w:color w:val="000000"/>
        </w:rPr>
        <w:t>.0</w:t>
      </w:r>
      <w:r w:rsidR="00726E19" w:rsidRPr="005843FC">
        <w:rPr>
          <w:bCs/>
          <w:color w:val="000000"/>
        </w:rPr>
        <w:t>0</w:t>
      </w:r>
      <w:r w:rsidR="002B145D" w:rsidRPr="005843FC">
        <w:rPr>
          <w:bCs/>
          <w:color w:val="000000"/>
        </w:rPr>
        <w:t xml:space="preserve">1). In Model 3, the inclusion of the resilience x </w:t>
      </w:r>
      <w:r w:rsidR="002B11F4">
        <w:rPr>
          <w:bCs/>
          <w:color w:val="000000"/>
        </w:rPr>
        <w:t xml:space="preserve">positive </w:t>
      </w:r>
      <w:r w:rsidR="008F4928" w:rsidRPr="005843FC">
        <w:rPr>
          <w:bCs/>
          <w:color w:val="000000"/>
        </w:rPr>
        <w:t>college experiences</w:t>
      </w:r>
      <w:r w:rsidR="002B145D" w:rsidRPr="005843FC">
        <w:rPr>
          <w:bCs/>
          <w:color w:val="000000"/>
        </w:rPr>
        <w:t xml:space="preserve"> </w:t>
      </w:r>
      <w:r w:rsidR="005375FE">
        <w:rPr>
          <w:bCs/>
          <w:color w:val="000000"/>
        </w:rPr>
        <w:t xml:space="preserve">interaction </w:t>
      </w:r>
      <w:r w:rsidR="002B145D" w:rsidRPr="005843FC">
        <w:rPr>
          <w:bCs/>
          <w:color w:val="000000"/>
        </w:rPr>
        <w:t xml:space="preserve">term yielded a significant interaction effect </w:t>
      </w:r>
      <w:r w:rsidR="006D7AB1" w:rsidRPr="005843FC">
        <w:t>(</w:t>
      </w:r>
      <w:r w:rsidR="006D7AB1" w:rsidRPr="005843FC">
        <w:rPr>
          <w:i/>
        </w:rPr>
        <w:t>β</w:t>
      </w:r>
      <w:r w:rsidR="006D7AB1" w:rsidRPr="005843FC">
        <w:t xml:space="preserve"> = -.</w:t>
      </w:r>
      <w:r w:rsidR="00726E19" w:rsidRPr="005843FC">
        <w:t>1</w:t>
      </w:r>
      <w:r w:rsidR="00216AE8" w:rsidRPr="005843FC">
        <w:t>4</w:t>
      </w:r>
      <w:r w:rsidR="006D7AB1" w:rsidRPr="005843FC">
        <w:t>, p &lt; .0</w:t>
      </w:r>
      <w:r w:rsidR="00726E19" w:rsidRPr="005843FC">
        <w:t>1</w:t>
      </w:r>
      <w:r w:rsidR="006D7AB1" w:rsidRPr="005843FC">
        <w:t>),</w:t>
      </w:r>
      <w:r w:rsidR="002B145D" w:rsidRPr="005843FC">
        <w:rPr>
          <w:bCs/>
          <w:color w:val="000000"/>
        </w:rPr>
        <w:t xml:space="preserve"> indicating that </w:t>
      </w:r>
      <w:r w:rsidR="002B11F4">
        <w:rPr>
          <w:bCs/>
          <w:color w:val="000000"/>
        </w:rPr>
        <w:t xml:space="preserve">positive </w:t>
      </w:r>
      <w:r w:rsidR="008F4928" w:rsidRPr="005843FC">
        <w:rPr>
          <w:bCs/>
          <w:color w:val="000000"/>
        </w:rPr>
        <w:t>college experiences</w:t>
      </w:r>
      <w:r w:rsidR="002B145D" w:rsidRPr="005843FC">
        <w:rPr>
          <w:bCs/>
          <w:color w:val="000000"/>
        </w:rPr>
        <w:t xml:space="preserve"> moderated the </w:t>
      </w:r>
      <w:r w:rsidR="00923379" w:rsidRPr="005843FC">
        <w:rPr>
          <w:bCs/>
          <w:color w:val="000000"/>
        </w:rPr>
        <w:t>association</w:t>
      </w:r>
      <w:r w:rsidR="002B145D" w:rsidRPr="005843FC">
        <w:rPr>
          <w:bCs/>
          <w:color w:val="000000"/>
        </w:rPr>
        <w:t xml:space="preserve"> between resilience and anxiety</w:t>
      </w:r>
      <w:r w:rsidR="0005538B">
        <w:rPr>
          <w:bCs/>
          <w:color w:val="000000"/>
        </w:rPr>
        <w:t xml:space="preserve"> symptoms</w:t>
      </w:r>
      <w:r w:rsidR="002B145D" w:rsidRPr="005843FC">
        <w:rPr>
          <w:bCs/>
          <w:color w:val="000000"/>
        </w:rPr>
        <w:t xml:space="preserve">. The final model explained an additional </w:t>
      </w:r>
      <w:r w:rsidR="001B02CA" w:rsidRPr="005843FC">
        <w:rPr>
          <w:bCs/>
          <w:color w:val="000000"/>
        </w:rPr>
        <w:t>2</w:t>
      </w:r>
      <w:r w:rsidR="002B145D" w:rsidRPr="005843FC">
        <w:rPr>
          <w:bCs/>
          <w:color w:val="000000"/>
        </w:rPr>
        <w:t xml:space="preserve">% </w:t>
      </w:r>
      <w:r w:rsidR="0066580E" w:rsidRPr="005843FC">
        <w:rPr>
          <w:bCs/>
          <w:color w:val="000000"/>
        </w:rPr>
        <w:t>(</w:t>
      </w:r>
      <w:r w:rsidR="0066580E" w:rsidRPr="005843FC">
        <w:rPr>
          <w:bCs/>
          <w:i/>
          <w:iCs/>
          <w:color w:val="000000"/>
        </w:rPr>
        <w:t>F</w:t>
      </w:r>
      <w:r w:rsidR="001C7616" w:rsidRPr="005843FC">
        <w:rPr>
          <w:bCs/>
          <w:color w:val="000000"/>
          <w:vertAlign w:val="subscript"/>
        </w:rPr>
        <w:t>1,4</w:t>
      </w:r>
      <w:r w:rsidR="00961BA9" w:rsidRPr="005843FC">
        <w:rPr>
          <w:bCs/>
          <w:color w:val="000000"/>
          <w:vertAlign w:val="subscript"/>
        </w:rPr>
        <w:t>18</w:t>
      </w:r>
      <w:r w:rsidR="0066580E" w:rsidRPr="005843FC">
        <w:rPr>
          <w:bCs/>
          <w:color w:val="000000"/>
          <w:vertAlign w:val="subscript"/>
        </w:rPr>
        <w:t xml:space="preserve"> </w:t>
      </w:r>
      <w:r w:rsidR="0066580E" w:rsidRPr="005843FC">
        <w:rPr>
          <w:bCs/>
          <w:color w:val="000000"/>
        </w:rPr>
        <w:t>= 10.3</w:t>
      </w:r>
      <w:r w:rsidR="00961BA9" w:rsidRPr="005843FC">
        <w:rPr>
          <w:bCs/>
          <w:color w:val="000000"/>
        </w:rPr>
        <w:t>7</w:t>
      </w:r>
      <w:r w:rsidR="0066580E" w:rsidRPr="005843FC">
        <w:rPr>
          <w:bCs/>
          <w:color w:val="000000"/>
        </w:rPr>
        <w:t xml:space="preserve">, </w:t>
      </w:r>
      <w:r w:rsidR="0066580E" w:rsidRPr="005843FC">
        <w:rPr>
          <w:bCs/>
          <w:i/>
          <w:iCs/>
          <w:color w:val="000000"/>
        </w:rPr>
        <w:t xml:space="preserve">p </w:t>
      </w:r>
      <w:r w:rsidR="0066580E" w:rsidRPr="005843FC">
        <w:rPr>
          <w:bCs/>
          <w:color w:val="000000"/>
        </w:rPr>
        <w:t>&lt; .01)</w:t>
      </w:r>
      <w:r w:rsidR="004B23BD" w:rsidRPr="005843FC">
        <w:rPr>
          <w:bCs/>
          <w:color w:val="000000"/>
        </w:rPr>
        <w:t xml:space="preserve"> </w:t>
      </w:r>
      <w:r w:rsidR="002B145D" w:rsidRPr="005843FC">
        <w:rPr>
          <w:bCs/>
          <w:color w:val="000000"/>
        </w:rPr>
        <w:t>and accounted for a total of 2</w:t>
      </w:r>
      <w:r w:rsidR="00961BA9" w:rsidRPr="005843FC">
        <w:rPr>
          <w:bCs/>
          <w:color w:val="000000"/>
        </w:rPr>
        <w:t>1</w:t>
      </w:r>
      <w:r w:rsidR="002B145D" w:rsidRPr="005843FC">
        <w:rPr>
          <w:bCs/>
          <w:color w:val="000000"/>
        </w:rPr>
        <w:t>% of the variance in anxiety</w:t>
      </w:r>
      <w:r w:rsidR="0005538B">
        <w:rPr>
          <w:bCs/>
          <w:color w:val="000000"/>
        </w:rPr>
        <w:t xml:space="preserve"> symptoms</w:t>
      </w:r>
      <w:r w:rsidR="002B145D" w:rsidRPr="005843FC">
        <w:rPr>
          <w:bCs/>
          <w:color w:val="000000"/>
        </w:rPr>
        <w:t xml:space="preserve"> </w:t>
      </w:r>
      <w:r w:rsidR="006D7AB1" w:rsidRPr="005843FC">
        <w:t>(</w:t>
      </w:r>
      <w:r w:rsidR="006D7AB1" w:rsidRPr="005843FC">
        <w:rPr>
          <w:i/>
        </w:rPr>
        <w:t>F</w:t>
      </w:r>
      <w:r w:rsidR="00216AE8" w:rsidRPr="005843FC">
        <w:rPr>
          <w:vertAlign w:val="subscript"/>
        </w:rPr>
        <w:t>1</w:t>
      </w:r>
      <w:r w:rsidR="0085076F" w:rsidRPr="005843FC">
        <w:rPr>
          <w:vertAlign w:val="subscript"/>
        </w:rPr>
        <w:t>1</w:t>
      </w:r>
      <w:r w:rsidR="00216AE8" w:rsidRPr="005843FC">
        <w:rPr>
          <w:vertAlign w:val="subscript"/>
        </w:rPr>
        <w:t xml:space="preserve">, </w:t>
      </w:r>
      <w:r w:rsidR="006D7AB1" w:rsidRPr="005843FC">
        <w:rPr>
          <w:vertAlign w:val="subscript"/>
        </w:rPr>
        <w:t>4</w:t>
      </w:r>
      <w:r w:rsidR="00961BA9" w:rsidRPr="005843FC">
        <w:rPr>
          <w:vertAlign w:val="subscript"/>
        </w:rPr>
        <w:t>18</w:t>
      </w:r>
      <w:r w:rsidR="006D7AB1" w:rsidRPr="005843FC">
        <w:t xml:space="preserve"> = </w:t>
      </w:r>
      <w:r w:rsidR="00216AE8" w:rsidRPr="005843FC">
        <w:t>1</w:t>
      </w:r>
      <w:r w:rsidR="00961BA9" w:rsidRPr="005843FC">
        <w:t>0</w:t>
      </w:r>
      <w:r w:rsidR="00216AE8" w:rsidRPr="005843FC">
        <w:t>.</w:t>
      </w:r>
      <w:r w:rsidR="00961BA9" w:rsidRPr="005843FC">
        <w:t>22</w:t>
      </w:r>
      <w:r w:rsidR="006D7AB1" w:rsidRPr="005843FC">
        <w:t xml:space="preserve">, </w:t>
      </w:r>
      <w:r w:rsidR="006D7AB1" w:rsidRPr="005843FC">
        <w:rPr>
          <w:i/>
        </w:rPr>
        <w:t>p</w:t>
      </w:r>
      <w:r w:rsidR="0040237E" w:rsidRPr="005843FC">
        <w:rPr>
          <w:i/>
        </w:rPr>
        <w:t xml:space="preserve"> </w:t>
      </w:r>
      <w:r w:rsidR="006D7AB1" w:rsidRPr="005843FC">
        <w:t>&lt;</w:t>
      </w:r>
      <w:r w:rsidR="0040237E" w:rsidRPr="005843FC">
        <w:t xml:space="preserve"> </w:t>
      </w:r>
      <w:r w:rsidR="006D7AB1" w:rsidRPr="005843FC">
        <w:t>.0</w:t>
      </w:r>
      <w:r w:rsidR="0062168B" w:rsidRPr="005843FC">
        <w:t>0</w:t>
      </w:r>
      <w:r w:rsidR="006D7AB1" w:rsidRPr="005843FC">
        <w:t>1).</w:t>
      </w:r>
      <w:r w:rsidR="00085412" w:rsidRPr="005843FC">
        <w:t xml:space="preserve"> Among demographic variables, first generation status was significantly </w:t>
      </w:r>
      <w:r w:rsidR="0005538B">
        <w:t>associated</w:t>
      </w:r>
      <w:r w:rsidR="0005538B" w:rsidRPr="005843FC">
        <w:t xml:space="preserve"> </w:t>
      </w:r>
      <w:r w:rsidR="00085412" w:rsidRPr="005843FC">
        <w:t xml:space="preserve">with </w:t>
      </w:r>
      <w:r w:rsidR="0005538B">
        <w:t xml:space="preserve">higher </w:t>
      </w:r>
      <w:r w:rsidR="00085412" w:rsidRPr="005843FC">
        <w:t>anxiety</w:t>
      </w:r>
      <w:r w:rsidR="0005538B">
        <w:t xml:space="preserve"> symptoms</w:t>
      </w:r>
      <w:r w:rsidR="00DE0F75" w:rsidRPr="005843FC">
        <w:t xml:space="preserve"> across all three models</w:t>
      </w:r>
      <w:r w:rsidR="00A34987" w:rsidRPr="005843FC">
        <w:t xml:space="preserve"> (</w:t>
      </w:r>
      <w:r w:rsidR="00A34987" w:rsidRPr="005843FC">
        <w:rPr>
          <w:i/>
        </w:rPr>
        <w:t>β</w:t>
      </w:r>
      <w:r w:rsidR="00A33760" w:rsidRPr="005843FC">
        <w:rPr>
          <w:iCs/>
        </w:rPr>
        <w:t>s</w:t>
      </w:r>
      <w:r w:rsidR="00A34987" w:rsidRPr="005843FC">
        <w:t xml:space="preserve"> = .1</w:t>
      </w:r>
      <w:r w:rsidR="00D035B0">
        <w:t>0</w:t>
      </w:r>
      <w:r w:rsidR="00A34987" w:rsidRPr="005843FC">
        <w:t xml:space="preserve"> to .1</w:t>
      </w:r>
      <w:r w:rsidR="00D035B0">
        <w:t>2</w:t>
      </w:r>
      <w:r w:rsidR="00A34987" w:rsidRPr="005843FC">
        <w:t xml:space="preserve">, </w:t>
      </w:r>
      <w:proofErr w:type="spellStart"/>
      <w:r w:rsidR="00A34987" w:rsidRPr="005843FC">
        <w:rPr>
          <w:i/>
          <w:iCs/>
        </w:rPr>
        <w:t>p</w:t>
      </w:r>
      <w:r w:rsidR="0005538B" w:rsidRPr="00EC1571">
        <w:t>s</w:t>
      </w:r>
      <w:proofErr w:type="spellEnd"/>
      <w:r w:rsidR="00A34987" w:rsidRPr="005843FC">
        <w:t xml:space="preserve"> &lt; .05)</w:t>
      </w:r>
      <w:r w:rsidR="00DE0F75" w:rsidRPr="005843FC">
        <w:t xml:space="preserve">. </w:t>
      </w:r>
      <w:r w:rsidR="00085412" w:rsidRPr="005843FC">
        <w:t xml:space="preserve"> </w:t>
      </w:r>
      <w:r w:rsidR="006D7AB1" w:rsidRPr="005843FC">
        <w:t xml:space="preserve"> </w:t>
      </w:r>
    </w:p>
    <w:p w14:paraId="74C88E7B" w14:textId="70D48A86" w:rsidR="001B3068" w:rsidRPr="00257F7A" w:rsidRDefault="001B3068" w:rsidP="001B3068">
      <w:pPr>
        <w:spacing w:line="276" w:lineRule="auto"/>
        <w:rPr>
          <w:bCs/>
        </w:rPr>
      </w:pPr>
      <w:r>
        <w:rPr>
          <w:bCs/>
        </w:rPr>
        <w:t>Table 1</w:t>
      </w:r>
    </w:p>
    <w:p w14:paraId="4D0F094E" w14:textId="5F0F6532" w:rsidR="001B3068" w:rsidRPr="004B544C" w:rsidRDefault="001B3068" w:rsidP="001B3068">
      <w:pPr>
        <w:spacing w:line="276" w:lineRule="auto"/>
        <w:rPr>
          <w:b/>
          <w:i/>
          <w:iCs/>
          <w:color w:val="FF0000"/>
        </w:rPr>
      </w:pPr>
      <w:r w:rsidRPr="004B544C">
        <w:rPr>
          <w:i/>
          <w:iCs/>
        </w:rPr>
        <w:t xml:space="preserve">Means, Standard Deviations, and </w:t>
      </w:r>
      <w:r w:rsidRPr="004B544C">
        <w:rPr>
          <w:i/>
          <w:iCs/>
          <w:color w:val="000000" w:themeColor="text1"/>
        </w:rPr>
        <w:t>Correlations for Conceptual Model Variables (N</w:t>
      </w:r>
      <w:r w:rsidR="0005538B">
        <w:rPr>
          <w:i/>
          <w:iCs/>
          <w:color w:val="000000" w:themeColor="text1"/>
        </w:rPr>
        <w:t xml:space="preserve"> </w:t>
      </w:r>
      <w:r w:rsidRPr="004B544C">
        <w:rPr>
          <w:i/>
          <w:iCs/>
          <w:color w:val="000000" w:themeColor="text1"/>
        </w:rPr>
        <w:t>=</w:t>
      </w:r>
      <w:r w:rsidR="0005538B">
        <w:rPr>
          <w:i/>
          <w:iCs/>
          <w:color w:val="000000" w:themeColor="text1"/>
        </w:rPr>
        <w:t xml:space="preserve"> </w:t>
      </w:r>
      <w:r w:rsidRPr="004B544C">
        <w:rPr>
          <w:i/>
          <w:iCs/>
          <w:color w:val="000000" w:themeColor="text1"/>
        </w:rPr>
        <w:t>430)</w:t>
      </w:r>
    </w:p>
    <w:p w14:paraId="54E4E2A8" w14:textId="77777777" w:rsidR="001B3068" w:rsidRPr="001B3068" w:rsidRDefault="001B3068" w:rsidP="001B3068">
      <w:pPr>
        <w:rPr>
          <w:sz w:val="10"/>
          <w:szCs w:val="1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1710"/>
        <w:gridCol w:w="1440"/>
        <w:gridCol w:w="1260"/>
        <w:gridCol w:w="1345"/>
      </w:tblGrid>
      <w:tr w:rsidR="001B3068" w:rsidRPr="001B3068" w14:paraId="61404C13" w14:textId="77777777" w:rsidTr="006A48C7">
        <w:tc>
          <w:tcPr>
            <w:tcW w:w="3595" w:type="dxa"/>
            <w:tcBorders>
              <w:bottom w:val="nil"/>
            </w:tcBorders>
          </w:tcPr>
          <w:p w14:paraId="6BD82164" w14:textId="77777777" w:rsidR="001B3068" w:rsidRPr="001B3068" w:rsidRDefault="001B3068" w:rsidP="006A48C7">
            <w:pPr>
              <w:rPr>
                <w:sz w:val="10"/>
                <w:szCs w:val="10"/>
              </w:rPr>
            </w:pPr>
          </w:p>
        </w:tc>
        <w:tc>
          <w:tcPr>
            <w:tcW w:w="1710" w:type="dxa"/>
            <w:tcBorders>
              <w:bottom w:val="nil"/>
            </w:tcBorders>
          </w:tcPr>
          <w:p w14:paraId="5D85FBC7" w14:textId="77777777" w:rsidR="001B3068" w:rsidRPr="001B3068" w:rsidRDefault="001B3068" w:rsidP="006A48C7">
            <w:pPr>
              <w:rPr>
                <w:sz w:val="10"/>
                <w:szCs w:val="10"/>
              </w:rPr>
            </w:pPr>
          </w:p>
        </w:tc>
        <w:tc>
          <w:tcPr>
            <w:tcW w:w="1440" w:type="dxa"/>
            <w:tcBorders>
              <w:bottom w:val="nil"/>
            </w:tcBorders>
          </w:tcPr>
          <w:p w14:paraId="7818E445" w14:textId="77777777" w:rsidR="001B3068" w:rsidRPr="001B3068" w:rsidRDefault="001B3068" w:rsidP="006A48C7">
            <w:pPr>
              <w:rPr>
                <w:sz w:val="10"/>
                <w:szCs w:val="10"/>
              </w:rPr>
            </w:pPr>
          </w:p>
        </w:tc>
        <w:tc>
          <w:tcPr>
            <w:tcW w:w="1260" w:type="dxa"/>
            <w:tcBorders>
              <w:bottom w:val="nil"/>
            </w:tcBorders>
          </w:tcPr>
          <w:p w14:paraId="6DFA293E" w14:textId="77777777" w:rsidR="001B3068" w:rsidRPr="001B3068" w:rsidRDefault="001B3068" w:rsidP="006A48C7">
            <w:pPr>
              <w:rPr>
                <w:sz w:val="10"/>
                <w:szCs w:val="10"/>
              </w:rPr>
            </w:pPr>
          </w:p>
        </w:tc>
        <w:tc>
          <w:tcPr>
            <w:tcW w:w="1345" w:type="dxa"/>
            <w:tcBorders>
              <w:bottom w:val="nil"/>
            </w:tcBorders>
          </w:tcPr>
          <w:p w14:paraId="310D2B3B" w14:textId="77777777" w:rsidR="001B3068" w:rsidRPr="001B3068" w:rsidRDefault="001B3068" w:rsidP="006A48C7">
            <w:pPr>
              <w:rPr>
                <w:sz w:val="10"/>
                <w:szCs w:val="10"/>
              </w:rPr>
            </w:pPr>
          </w:p>
        </w:tc>
      </w:tr>
      <w:tr w:rsidR="001B3068" w14:paraId="7F7406A2" w14:textId="77777777" w:rsidTr="006A48C7">
        <w:tc>
          <w:tcPr>
            <w:tcW w:w="3595" w:type="dxa"/>
            <w:tcBorders>
              <w:top w:val="nil"/>
              <w:bottom w:val="nil"/>
            </w:tcBorders>
          </w:tcPr>
          <w:p w14:paraId="7AB36657" w14:textId="77777777" w:rsidR="001B3068" w:rsidRDefault="001B3068" w:rsidP="006A48C7">
            <w:pPr>
              <w:ind w:firstLine="0"/>
              <w:jc w:val="both"/>
            </w:pPr>
            <w:r>
              <w:t>Variable</w:t>
            </w:r>
          </w:p>
        </w:tc>
        <w:tc>
          <w:tcPr>
            <w:tcW w:w="1710" w:type="dxa"/>
            <w:tcBorders>
              <w:top w:val="nil"/>
              <w:bottom w:val="nil"/>
            </w:tcBorders>
          </w:tcPr>
          <w:p w14:paraId="4F6A17F5" w14:textId="77777777" w:rsidR="001B3068" w:rsidRDefault="001B3068" w:rsidP="006A48C7">
            <w:pPr>
              <w:ind w:firstLine="0"/>
              <w:jc w:val="center"/>
            </w:pPr>
            <w:r w:rsidRPr="00257F7A">
              <w:t>Mean (SD)</w:t>
            </w:r>
          </w:p>
        </w:tc>
        <w:tc>
          <w:tcPr>
            <w:tcW w:w="1440" w:type="dxa"/>
            <w:tcBorders>
              <w:top w:val="nil"/>
              <w:bottom w:val="nil"/>
            </w:tcBorders>
          </w:tcPr>
          <w:p w14:paraId="3425F1B0" w14:textId="77777777" w:rsidR="001B3068" w:rsidRDefault="001B3068" w:rsidP="006A48C7">
            <w:pPr>
              <w:ind w:firstLine="0"/>
              <w:jc w:val="center"/>
            </w:pPr>
            <w:r>
              <w:t>1</w:t>
            </w:r>
          </w:p>
        </w:tc>
        <w:tc>
          <w:tcPr>
            <w:tcW w:w="1260" w:type="dxa"/>
            <w:tcBorders>
              <w:top w:val="nil"/>
              <w:bottom w:val="nil"/>
            </w:tcBorders>
          </w:tcPr>
          <w:p w14:paraId="2EB5C50E" w14:textId="77777777" w:rsidR="001B3068" w:rsidRDefault="001B3068" w:rsidP="006A48C7">
            <w:pPr>
              <w:ind w:firstLine="0"/>
              <w:jc w:val="center"/>
            </w:pPr>
            <w:r>
              <w:t>2</w:t>
            </w:r>
          </w:p>
        </w:tc>
        <w:tc>
          <w:tcPr>
            <w:tcW w:w="1345" w:type="dxa"/>
            <w:tcBorders>
              <w:top w:val="nil"/>
              <w:bottom w:val="nil"/>
            </w:tcBorders>
          </w:tcPr>
          <w:p w14:paraId="0E5574F1" w14:textId="77777777" w:rsidR="001B3068" w:rsidRDefault="001B3068" w:rsidP="006A48C7">
            <w:pPr>
              <w:ind w:firstLine="0"/>
              <w:jc w:val="center"/>
            </w:pPr>
            <w:r>
              <w:t>3</w:t>
            </w:r>
          </w:p>
        </w:tc>
      </w:tr>
      <w:tr w:rsidR="001B3068" w:rsidRPr="001B3068" w14:paraId="388BE199" w14:textId="77777777" w:rsidTr="006A48C7">
        <w:tc>
          <w:tcPr>
            <w:tcW w:w="3595" w:type="dxa"/>
            <w:tcBorders>
              <w:top w:val="nil"/>
              <w:bottom w:val="single" w:sz="4" w:space="0" w:color="auto"/>
            </w:tcBorders>
          </w:tcPr>
          <w:p w14:paraId="212F60D3" w14:textId="77777777" w:rsidR="001B3068" w:rsidRPr="001B3068" w:rsidRDefault="001B3068" w:rsidP="006A48C7">
            <w:pPr>
              <w:rPr>
                <w:sz w:val="10"/>
                <w:szCs w:val="10"/>
              </w:rPr>
            </w:pPr>
          </w:p>
        </w:tc>
        <w:tc>
          <w:tcPr>
            <w:tcW w:w="1710" w:type="dxa"/>
            <w:tcBorders>
              <w:top w:val="nil"/>
              <w:bottom w:val="single" w:sz="4" w:space="0" w:color="auto"/>
            </w:tcBorders>
          </w:tcPr>
          <w:p w14:paraId="31A24EC0" w14:textId="77777777" w:rsidR="001B3068" w:rsidRPr="001B3068" w:rsidRDefault="001B3068" w:rsidP="006A48C7">
            <w:pPr>
              <w:rPr>
                <w:sz w:val="10"/>
                <w:szCs w:val="10"/>
              </w:rPr>
            </w:pPr>
          </w:p>
        </w:tc>
        <w:tc>
          <w:tcPr>
            <w:tcW w:w="1440" w:type="dxa"/>
            <w:tcBorders>
              <w:top w:val="nil"/>
              <w:bottom w:val="single" w:sz="4" w:space="0" w:color="auto"/>
            </w:tcBorders>
          </w:tcPr>
          <w:p w14:paraId="3AB3FC42" w14:textId="77777777" w:rsidR="001B3068" w:rsidRPr="001B3068" w:rsidRDefault="001B3068" w:rsidP="006A48C7">
            <w:pPr>
              <w:rPr>
                <w:sz w:val="10"/>
                <w:szCs w:val="10"/>
              </w:rPr>
            </w:pPr>
          </w:p>
        </w:tc>
        <w:tc>
          <w:tcPr>
            <w:tcW w:w="1260" w:type="dxa"/>
            <w:tcBorders>
              <w:top w:val="nil"/>
              <w:bottom w:val="single" w:sz="4" w:space="0" w:color="auto"/>
            </w:tcBorders>
          </w:tcPr>
          <w:p w14:paraId="25E14805" w14:textId="77777777" w:rsidR="001B3068" w:rsidRPr="001B3068" w:rsidRDefault="001B3068" w:rsidP="006A48C7">
            <w:pPr>
              <w:rPr>
                <w:sz w:val="10"/>
                <w:szCs w:val="10"/>
              </w:rPr>
            </w:pPr>
          </w:p>
        </w:tc>
        <w:tc>
          <w:tcPr>
            <w:tcW w:w="1345" w:type="dxa"/>
            <w:tcBorders>
              <w:top w:val="nil"/>
              <w:bottom w:val="single" w:sz="4" w:space="0" w:color="auto"/>
            </w:tcBorders>
          </w:tcPr>
          <w:p w14:paraId="4E94ABB3" w14:textId="77777777" w:rsidR="001B3068" w:rsidRPr="001B3068" w:rsidRDefault="001B3068" w:rsidP="006A48C7">
            <w:pPr>
              <w:rPr>
                <w:sz w:val="10"/>
                <w:szCs w:val="10"/>
              </w:rPr>
            </w:pPr>
          </w:p>
        </w:tc>
      </w:tr>
      <w:tr w:rsidR="001B3068" w:rsidRPr="00E06B72" w14:paraId="06F5FDB9" w14:textId="77777777" w:rsidTr="006A48C7">
        <w:tc>
          <w:tcPr>
            <w:tcW w:w="3595" w:type="dxa"/>
            <w:tcBorders>
              <w:top w:val="single" w:sz="4" w:space="0" w:color="auto"/>
              <w:bottom w:val="nil"/>
            </w:tcBorders>
          </w:tcPr>
          <w:p w14:paraId="695A6FD0" w14:textId="77777777" w:rsidR="001B3068" w:rsidRPr="00E06B72" w:rsidRDefault="001B3068" w:rsidP="006A48C7">
            <w:pPr>
              <w:rPr>
                <w:sz w:val="13"/>
                <w:szCs w:val="13"/>
              </w:rPr>
            </w:pPr>
          </w:p>
        </w:tc>
        <w:tc>
          <w:tcPr>
            <w:tcW w:w="1710" w:type="dxa"/>
            <w:tcBorders>
              <w:top w:val="single" w:sz="4" w:space="0" w:color="auto"/>
              <w:bottom w:val="nil"/>
            </w:tcBorders>
          </w:tcPr>
          <w:p w14:paraId="4D807878" w14:textId="77777777" w:rsidR="001B3068" w:rsidRPr="00E06B72" w:rsidRDefault="001B3068" w:rsidP="006A48C7">
            <w:pPr>
              <w:jc w:val="center"/>
              <w:rPr>
                <w:sz w:val="13"/>
                <w:szCs w:val="13"/>
              </w:rPr>
            </w:pPr>
          </w:p>
        </w:tc>
        <w:tc>
          <w:tcPr>
            <w:tcW w:w="1440" w:type="dxa"/>
            <w:tcBorders>
              <w:top w:val="single" w:sz="4" w:space="0" w:color="auto"/>
              <w:bottom w:val="nil"/>
            </w:tcBorders>
          </w:tcPr>
          <w:p w14:paraId="549A81BD" w14:textId="77777777" w:rsidR="001B3068" w:rsidRPr="00E06B72" w:rsidRDefault="001B3068" w:rsidP="006A48C7">
            <w:pPr>
              <w:jc w:val="center"/>
              <w:rPr>
                <w:sz w:val="13"/>
                <w:szCs w:val="13"/>
              </w:rPr>
            </w:pPr>
          </w:p>
        </w:tc>
        <w:tc>
          <w:tcPr>
            <w:tcW w:w="1260" w:type="dxa"/>
            <w:tcBorders>
              <w:top w:val="single" w:sz="4" w:space="0" w:color="auto"/>
              <w:bottom w:val="nil"/>
            </w:tcBorders>
          </w:tcPr>
          <w:p w14:paraId="467009F3" w14:textId="77777777" w:rsidR="001B3068" w:rsidRPr="00E06B72" w:rsidRDefault="001B3068" w:rsidP="006A48C7">
            <w:pPr>
              <w:rPr>
                <w:sz w:val="13"/>
                <w:szCs w:val="13"/>
              </w:rPr>
            </w:pPr>
          </w:p>
        </w:tc>
        <w:tc>
          <w:tcPr>
            <w:tcW w:w="1345" w:type="dxa"/>
            <w:tcBorders>
              <w:top w:val="single" w:sz="4" w:space="0" w:color="auto"/>
              <w:bottom w:val="nil"/>
            </w:tcBorders>
          </w:tcPr>
          <w:p w14:paraId="533A8465" w14:textId="77777777" w:rsidR="001B3068" w:rsidRPr="00E06B72" w:rsidRDefault="001B3068" w:rsidP="006A48C7">
            <w:pPr>
              <w:rPr>
                <w:sz w:val="13"/>
                <w:szCs w:val="13"/>
              </w:rPr>
            </w:pPr>
          </w:p>
        </w:tc>
      </w:tr>
      <w:tr w:rsidR="001B3068" w14:paraId="22322C2D" w14:textId="77777777" w:rsidTr="006A48C7">
        <w:tc>
          <w:tcPr>
            <w:tcW w:w="3595" w:type="dxa"/>
            <w:tcBorders>
              <w:top w:val="nil"/>
            </w:tcBorders>
          </w:tcPr>
          <w:p w14:paraId="26134C52" w14:textId="208D5C09" w:rsidR="001B3068" w:rsidRDefault="001B3068" w:rsidP="006A48C7">
            <w:pPr>
              <w:ind w:firstLine="0"/>
            </w:pPr>
            <w:r>
              <w:t>1. Anxiety</w:t>
            </w:r>
            <w:r w:rsidR="00175189">
              <w:t xml:space="preserve"> Symptoms</w:t>
            </w:r>
            <w:r w:rsidR="009E6CF6">
              <w:t xml:space="preserve"> </w:t>
            </w:r>
          </w:p>
        </w:tc>
        <w:tc>
          <w:tcPr>
            <w:tcW w:w="1710" w:type="dxa"/>
            <w:tcBorders>
              <w:top w:val="nil"/>
            </w:tcBorders>
          </w:tcPr>
          <w:p w14:paraId="4D639C69" w14:textId="77777777" w:rsidR="001B3068" w:rsidRDefault="001B3068" w:rsidP="006A48C7">
            <w:pPr>
              <w:ind w:left="75" w:hanging="75"/>
              <w:jc w:val="center"/>
            </w:pPr>
            <w:r w:rsidRPr="00257F7A">
              <w:t>8.5</w:t>
            </w:r>
            <w:r>
              <w:t>8</w:t>
            </w:r>
            <w:r w:rsidRPr="00257F7A">
              <w:t xml:space="preserve"> (5.61)</w:t>
            </w:r>
          </w:p>
        </w:tc>
        <w:tc>
          <w:tcPr>
            <w:tcW w:w="1440" w:type="dxa"/>
            <w:tcBorders>
              <w:top w:val="nil"/>
            </w:tcBorders>
          </w:tcPr>
          <w:p w14:paraId="017451F3" w14:textId="77777777" w:rsidR="001B3068" w:rsidRDefault="001B3068" w:rsidP="006A48C7">
            <w:pPr>
              <w:ind w:firstLine="0"/>
              <w:jc w:val="center"/>
            </w:pPr>
            <w:r w:rsidRPr="00257F7A">
              <w:t>—</w:t>
            </w:r>
          </w:p>
        </w:tc>
        <w:tc>
          <w:tcPr>
            <w:tcW w:w="1260" w:type="dxa"/>
            <w:tcBorders>
              <w:top w:val="nil"/>
            </w:tcBorders>
          </w:tcPr>
          <w:p w14:paraId="667876AC" w14:textId="77777777" w:rsidR="001B3068" w:rsidRDefault="001B3068" w:rsidP="006A48C7"/>
        </w:tc>
        <w:tc>
          <w:tcPr>
            <w:tcW w:w="1345" w:type="dxa"/>
            <w:tcBorders>
              <w:top w:val="nil"/>
            </w:tcBorders>
          </w:tcPr>
          <w:p w14:paraId="366D8272" w14:textId="77777777" w:rsidR="001B3068" w:rsidRDefault="001B3068" w:rsidP="006A48C7"/>
        </w:tc>
      </w:tr>
      <w:tr w:rsidR="001B3068" w14:paraId="3F2C259E" w14:textId="77777777" w:rsidTr="006A48C7">
        <w:tc>
          <w:tcPr>
            <w:tcW w:w="3595" w:type="dxa"/>
          </w:tcPr>
          <w:p w14:paraId="79D58F3D" w14:textId="77777777" w:rsidR="001B3068" w:rsidRDefault="001B3068" w:rsidP="006A48C7">
            <w:pPr>
              <w:ind w:firstLine="0"/>
            </w:pPr>
            <w:r>
              <w:t>2. Resilience</w:t>
            </w:r>
          </w:p>
        </w:tc>
        <w:tc>
          <w:tcPr>
            <w:tcW w:w="1710" w:type="dxa"/>
          </w:tcPr>
          <w:p w14:paraId="10E50FA6" w14:textId="77777777" w:rsidR="001B3068" w:rsidRDefault="001B3068" w:rsidP="006A48C7">
            <w:pPr>
              <w:ind w:left="-15" w:firstLine="0"/>
              <w:jc w:val="center"/>
            </w:pPr>
            <w:r>
              <w:t xml:space="preserve">3.38 </w:t>
            </w:r>
            <w:r w:rsidRPr="00257F7A">
              <w:t>(</w:t>
            </w:r>
            <w:r>
              <w:t>0.73</w:t>
            </w:r>
            <w:r w:rsidRPr="00257F7A">
              <w:t>)</w:t>
            </w:r>
          </w:p>
        </w:tc>
        <w:tc>
          <w:tcPr>
            <w:tcW w:w="1440" w:type="dxa"/>
          </w:tcPr>
          <w:p w14:paraId="3E9609C7" w14:textId="77777777" w:rsidR="001B3068" w:rsidRDefault="001B3068" w:rsidP="006A48C7">
            <w:pPr>
              <w:tabs>
                <w:tab w:val="center" w:pos="255"/>
              </w:tabs>
              <w:ind w:firstLine="0"/>
              <w:jc w:val="center"/>
            </w:pPr>
            <w:r w:rsidRPr="00257F7A">
              <w:t>-.4</w:t>
            </w:r>
            <w:r>
              <w:t>2</w:t>
            </w:r>
            <w:r w:rsidRPr="00257F7A">
              <w:t>**</w:t>
            </w:r>
          </w:p>
        </w:tc>
        <w:tc>
          <w:tcPr>
            <w:tcW w:w="1260" w:type="dxa"/>
          </w:tcPr>
          <w:p w14:paraId="1D01F328" w14:textId="77777777" w:rsidR="001B3068" w:rsidRDefault="001B3068" w:rsidP="006A48C7">
            <w:pPr>
              <w:ind w:firstLine="0"/>
              <w:jc w:val="center"/>
            </w:pPr>
            <w:r w:rsidRPr="00257F7A">
              <w:t>—</w:t>
            </w:r>
          </w:p>
        </w:tc>
        <w:tc>
          <w:tcPr>
            <w:tcW w:w="1345" w:type="dxa"/>
          </w:tcPr>
          <w:p w14:paraId="6EDA1387" w14:textId="77777777" w:rsidR="001B3068" w:rsidRDefault="001B3068" w:rsidP="006A48C7"/>
        </w:tc>
      </w:tr>
      <w:tr w:rsidR="001B3068" w14:paraId="5456576C" w14:textId="77777777" w:rsidTr="006A48C7">
        <w:tc>
          <w:tcPr>
            <w:tcW w:w="3595" w:type="dxa"/>
          </w:tcPr>
          <w:p w14:paraId="1BABF6BE" w14:textId="77777777" w:rsidR="001B3068" w:rsidRDefault="001B3068" w:rsidP="006A48C7">
            <w:pPr>
              <w:ind w:firstLine="0"/>
            </w:pPr>
            <w:r>
              <w:t>3. Positive College Experiences</w:t>
            </w:r>
          </w:p>
        </w:tc>
        <w:tc>
          <w:tcPr>
            <w:tcW w:w="1710" w:type="dxa"/>
          </w:tcPr>
          <w:p w14:paraId="2F25906B" w14:textId="77777777" w:rsidR="001B3068" w:rsidRDefault="001B3068" w:rsidP="006A48C7">
            <w:pPr>
              <w:ind w:left="-105" w:firstLine="0"/>
              <w:jc w:val="center"/>
            </w:pPr>
            <w:r w:rsidRPr="00257F7A">
              <w:t>20.6</w:t>
            </w:r>
            <w:r>
              <w:t>9</w:t>
            </w:r>
            <w:r w:rsidRPr="00257F7A">
              <w:t xml:space="preserve"> (3.6</w:t>
            </w:r>
            <w:r>
              <w:t>7</w:t>
            </w:r>
            <w:r w:rsidRPr="00257F7A">
              <w:t>)</w:t>
            </w:r>
          </w:p>
        </w:tc>
        <w:tc>
          <w:tcPr>
            <w:tcW w:w="1440" w:type="dxa"/>
          </w:tcPr>
          <w:p w14:paraId="4F2237F4" w14:textId="77777777" w:rsidR="001B3068" w:rsidRDefault="001B3068" w:rsidP="006A48C7">
            <w:pPr>
              <w:tabs>
                <w:tab w:val="left" w:pos="345"/>
              </w:tabs>
              <w:ind w:hanging="195"/>
              <w:jc w:val="center"/>
            </w:pPr>
            <w:r w:rsidRPr="00257F7A">
              <w:t>-.09</w:t>
            </w:r>
          </w:p>
        </w:tc>
        <w:tc>
          <w:tcPr>
            <w:tcW w:w="1260" w:type="dxa"/>
          </w:tcPr>
          <w:p w14:paraId="6EC978BC" w14:textId="77777777" w:rsidR="001B3068" w:rsidRDefault="001B3068" w:rsidP="006A48C7">
            <w:pPr>
              <w:ind w:firstLine="0"/>
              <w:jc w:val="center"/>
            </w:pPr>
            <w:r w:rsidRPr="00257F7A">
              <w:t>.1</w:t>
            </w:r>
            <w:r>
              <w:t>1</w:t>
            </w:r>
            <w:r w:rsidRPr="00257F7A">
              <w:t>*</w:t>
            </w:r>
          </w:p>
        </w:tc>
        <w:tc>
          <w:tcPr>
            <w:tcW w:w="1345" w:type="dxa"/>
          </w:tcPr>
          <w:p w14:paraId="4229B01E" w14:textId="77777777" w:rsidR="001B3068" w:rsidRDefault="001B3068" w:rsidP="006A48C7">
            <w:pPr>
              <w:ind w:firstLine="0"/>
              <w:jc w:val="center"/>
            </w:pPr>
            <w:r w:rsidRPr="00257F7A">
              <w:t>—</w:t>
            </w:r>
          </w:p>
        </w:tc>
      </w:tr>
      <w:tr w:rsidR="001B3068" w:rsidRPr="001B3068" w14:paraId="256DD121" w14:textId="77777777" w:rsidTr="006A48C7">
        <w:tc>
          <w:tcPr>
            <w:tcW w:w="3595" w:type="dxa"/>
          </w:tcPr>
          <w:p w14:paraId="0F64B2FD" w14:textId="77777777" w:rsidR="001B3068" w:rsidRPr="001B3068" w:rsidRDefault="001B3068" w:rsidP="006A48C7">
            <w:pPr>
              <w:rPr>
                <w:sz w:val="10"/>
                <w:szCs w:val="10"/>
              </w:rPr>
            </w:pPr>
          </w:p>
        </w:tc>
        <w:tc>
          <w:tcPr>
            <w:tcW w:w="1710" w:type="dxa"/>
          </w:tcPr>
          <w:p w14:paraId="253344D7" w14:textId="77777777" w:rsidR="001B3068" w:rsidRPr="001B3068" w:rsidRDefault="001B3068" w:rsidP="006A48C7">
            <w:pPr>
              <w:rPr>
                <w:sz w:val="10"/>
                <w:szCs w:val="10"/>
              </w:rPr>
            </w:pPr>
          </w:p>
        </w:tc>
        <w:tc>
          <w:tcPr>
            <w:tcW w:w="1440" w:type="dxa"/>
          </w:tcPr>
          <w:p w14:paraId="3AE4B709" w14:textId="77777777" w:rsidR="001B3068" w:rsidRPr="001B3068" w:rsidRDefault="001B3068" w:rsidP="006A48C7">
            <w:pPr>
              <w:rPr>
                <w:sz w:val="10"/>
                <w:szCs w:val="10"/>
              </w:rPr>
            </w:pPr>
          </w:p>
        </w:tc>
        <w:tc>
          <w:tcPr>
            <w:tcW w:w="1260" w:type="dxa"/>
          </w:tcPr>
          <w:p w14:paraId="734EA052" w14:textId="77777777" w:rsidR="001B3068" w:rsidRPr="001B3068" w:rsidRDefault="001B3068" w:rsidP="006A48C7">
            <w:pPr>
              <w:rPr>
                <w:sz w:val="10"/>
                <w:szCs w:val="10"/>
              </w:rPr>
            </w:pPr>
          </w:p>
        </w:tc>
        <w:tc>
          <w:tcPr>
            <w:tcW w:w="1345" w:type="dxa"/>
          </w:tcPr>
          <w:p w14:paraId="2A6951A4" w14:textId="77777777" w:rsidR="001B3068" w:rsidRPr="001B3068" w:rsidRDefault="001B3068" w:rsidP="006A48C7">
            <w:pPr>
              <w:rPr>
                <w:sz w:val="10"/>
                <w:szCs w:val="10"/>
              </w:rPr>
            </w:pPr>
          </w:p>
        </w:tc>
      </w:tr>
    </w:tbl>
    <w:p w14:paraId="77C9B70C" w14:textId="27028892" w:rsidR="001B3068" w:rsidRDefault="001B3068" w:rsidP="002D45D1">
      <w:pPr>
        <w:sectPr w:rsidR="001B3068" w:rsidSect="006A2B51">
          <w:headerReference w:type="default" r:id="rId11"/>
          <w:footerReference w:type="even" r:id="rId12"/>
          <w:footerReference w:type="default" r:id="rId13"/>
          <w:headerReference w:type="first" r:id="rId14"/>
          <w:pgSz w:w="12240" w:h="15840"/>
          <w:pgMar w:top="1440" w:right="1440" w:bottom="1440" w:left="1440" w:header="720" w:footer="720" w:gutter="0"/>
          <w:pgNumType w:start="1"/>
          <w:cols w:space="720"/>
          <w:titlePg/>
          <w:docGrid w:linePitch="360"/>
        </w:sectPr>
      </w:pPr>
      <w:r w:rsidRPr="00257F7A">
        <w:t>Note. *</w:t>
      </w:r>
      <w:r w:rsidRPr="00257F7A">
        <w:rPr>
          <w:i/>
        </w:rPr>
        <w:t xml:space="preserve"> p</w:t>
      </w:r>
      <w:r w:rsidRPr="00257F7A">
        <w:t xml:space="preserve"> &lt; .05, **</w:t>
      </w:r>
      <w:r w:rsidRPr="00257F7A">
        <w:rPr>
          <w:i/>
        </w:rPr>
        <w:t xml:space="preserve"> p</w:t>
      </w:r>
      <w:r w:rsidRPr="00257F7A">
        <w:t xml:space="preserve"> &lt; .01 </w:t>
      </w:r>
    </w:p>
    <w:p w14:paraId="411CD159" w14:textId="77777777" w:rsidR="007E06A6" w:rsidRPr="00257F7A" w:rsidRDefault="007E06A6" w:rsidP="007E06A6">
      <w:pPr>
        <w:widowControl w:val="0"/>
        <w:spacing w:line="276" w:lineRule="auto"/>
        <w:ind w:firstLine="720"/>
        <w:rPr>
          <w:bCs/>
        </w:rPr>
      </w:pPr>
      <w:r>
        <w:rPr>
          <w:bCs/>
        </w:rPr>
        <w:lastRenderedPageBreak/>
        <w:t>Table</w:t>
      </w:r>
      <w:r w:rsidRPr="00257F7A">
        <w:rPr>
          <w:bCs/>
        </w:rPr>
        <w:t xml:space="preserve"> 2</w:t>
      </w:r>
    </w:p>
    <w:p w14:paraId="0998092B" w14:textId="50422AC6" w:rsidR="007E06A6" w:rsidRPr="004B544C" w:rsidRDefault="007E06A6" w:rsidP="007E06A6">
      <w:pPr>
        <w:widowControl w:val="0"/>
        <w:spacing w:line="276" w:lineRule="auto"/>
        <w:ind w:firstLine="720"/>
        <w:rPr>
          <w:i/>
          <w:iCs/>
        </w:rPr>
      </w:pPr>
      <w:r w:rsidRPr="004B544C">
        <w:rPr>
          <w:i/>
          <w:iCs/>
        </w:rPr>
        <w:t>Hierarchical Regression of Anxiety</w:t>
      </w:r>
      <w:r w:rsidR="00175189">
        <w:rPr>
          <w:i/>
          <w:iCs/>
        </w:rPr>
        <w:t xml:space="preserve"> Symptoms</w:t>
      </w:r>
      <w:r w:rsidRPr="004B544C">
        <w:rPr>
          <w:i/>
          <w:iCs/>
        </w:rPr>
        <w:t xml:space="preserve"> on Resilience, Positive College Experiences, and Interaction Term (N</w:t>
      </w:r>
      <w:r w:rsidR="0005538B">
        <w:rPr>
          <w:i/>
          <w:iCs/>
        </w:rPr>
        <w:t xml:space="preserve"> </w:t>
      </w:r>
      <w:r w:rsidRPr="004B544C">
        <w:rPr>
          <w:i/>
          <w:iCs/>
        </w:rPr>
        <w:t>=</w:t>
      </w:r>
      <w:r w:rsidR="0005538B">
        <w:rPr>
          <w:i/>
          <w:iCs/>
        </w:rPr>
        <w:t xml:space="preserve"> </w:t>
      </w:r>
      <w:r w:rsidRPr="004B544C">
        <w:rPr>
          <w:i/>
          <w:iCs/>
        </w:rPr>
        <w:t>430)</w:t>
      </w:r>
    </w:p>
    <w:p w14:paraId="28A47530" w14:textId="77777777" w:rsidR="007E06A6" w:rsidRPr="00257F7A" w:rsidRDefault="007E06A6" w:rsidP="007E06A6"/>
    <w:tbl>
      <w:tblPr>
        <w:tblStyle w:val="TableGrid"/>
        <w:tblW w:w="13055" w:type="dxa"/>
        <w:tblInd w:w="625" w:type="dxa"/>
        <w:tblLayout w:type="fixed"/>
        <w:tblLook w:val="04A0" w:firstRow="1" w:lastRow="0" w:firstColumn="1" w:lastColumn="0" w:noHBand="0" w:noVBand="1"/>
      </w:tblPr>
      <w:tblGrid>
        <w:gridCol w:w="4260"/>
        <w:gridCol w:w="900"/>
        <w:gridCol w:w="810"/>
        <w:gridCol w:w="810"/>
        <w:gridCol w:w="450"/>
        <w:gridCol w:w="900"/>
        <w:gridCol w:w="990"/>
        <w:gridCol w:w="810"/>
        <w:gridCol w:w="270"/>
        <w:gridCol w:w="270"/>
        <w:gridCol w:w="900"/>
        <w:gridCol w:w="810"/>
        <w:gridCol w:w="875"/>
      </w:tblGrid>
      <w:tr w:rsidR="007E06A6" w:rsidRPr="00257F7A" w14:paraId="6D11CBB2" w14:textId="77777777" w:rsidTr="00796E8C">
        <w:trPr>
          <w:trHeight w:val="461"/>
        </w:trPr>
        <w:tc>
          <w:tcPr>
            <w:tcW w:w="4260" w:type="dxa"/>
            <w:tcBorders>
              <w:top w:val="single" w:sz="4" w:space="0" w:color="auto"/>
              <w:left w:val="nil"/>
              <w:bottom w:val="nil"/>
              <w:right w:val="nil"/>
            </w:tcBorders>
          </w:tcPr>
          <w:p w14:paraId="48307F9D" w14:textId="77777777" w:rsidR="007E06A6" w:rsidRPr="00257F7A" w:rsidRDefault="007E06A6" w:rsidP="00796E8C">
            <w:pPr>
              <w:ind w:right="-111" w:firstLine="0"/>
            </w:pPr>
          </w:p>
        </w:tc>
        <w:tc>
          <w:tcPr>
            <w:tcW w:w="2520" w:type="dxa"/>
            <w:gridSpan w:val="3"/>
            <w:tcBorders>
              <w:top w:val="single" w:sz="4" w:space="0" w:color="auto"/>
              <w:left w:val="nil"/>
              <w:bottom w:val="single" w:sz="4" w:space="0" w:color="auto"/>
              <w:right w:val="nil"/>
            </w:tcBorders>
            <w:vAlign w:val="center"/>
          </w:tcPr>
          <w:p w14:paraId="079C8753" w14:textId="77777777" w:rsidR="007E06A6" w:rsidRPr="00257F7A" w:rsidRDefault="007E06A6" w:rsidP="00796E8C">
            <w:pPr>
              <w:ind w:firstLine="0"/>
              <w:jc w:val="center"/>
            </w:pPr>
            <w:r>
              <w:t>Model</w:t>
            </w:r>
            <w:r w:rsidRPr="00257F7A">
              <w:t xml:space="preserve"> 1</w:t>
            </w:r>
          </w:p>
        </w:tc>
        <w:tc>
          <w:tcPr>
            <w:tcW w:w="450" w:type="dxa"/>
            <w:tcBorders>
              <w:top w:val="single" w:sz="4" w:space="0" w:color="auto"/>
              <w:left w:val="nil"/>
              <w:bottom w:val="single" w:sz="4" w:space="0" w:color="auto"/>
              <w:right w:val="nil"/>
            </w:tcBorders>
          </w:tcPr>
          <w:p w14:paraId="1B00341A" w14:textId="77777777" w:rsidR="007E06A6" w:rsidRPr="00257F7A" w:rsidRDefault="007E06A6" w:rsidP="00796E8C">
            <w:pPr>
              <w:ind w:firstLine="0"/>
              <w:jc w:val="center"/>
            </w:pPr>
          </w:p>
        </w:tc>
        <w:tc>
          <w:tcPr>
            <w:tcW w:w="2970" w:type="dxa"/>
            <w:gridSpan w:val="4"/>
            <w:tcBorders>
              <w:top w:val="single" w:sz="4" w:space="0" w:color="auto"/>
              <w:left w:val="nil"/>
              <w:bottom w:val="single" w:sz="4" w:space="0" w:color="auto"/>
              <w:right w:val="nil"/>
            </w:tcBorders>
            <w:vAlign w:val="center"/>
          </w:tcPr>
          <w:p w14:paraId="71DB7EB7" w14:textId="77777777" w:rsidR="007E06A6" w:rsidRPr="00257F7A" w:rsidRDefault="007E06A6" w:rsidP="00796E8C">
            <w:pPr>
              <w:ind w:firstLine="0"/>
              <w:jc w:val="center"/>
            </w:pPr>
            <w:r>
              <w:t>Model</w:t>
            </w:r>
            <w:r w:rsidRPr="00257F7A">
              <w:t xml:space="preserve"> 2</w:t>
            </w:r>
          </w:p>
        </w:tc>
        <w:tc>
          <w:tcPr>
            <w:tcW w:w="2855" w:type="dxa"/>
            <w:gridSpan w:val="4"/>
            <w:tcBorders>
              <w:top w:val="single" w:sz="4" w:space="0" w:color="auto"/>
              <w:left w:val="nil"/>
              <w:bottom w:val="single" w:sz="4" w:space="0" w:color="auto"/>
              <w:right w:val="nil"/>
            </w:tcBorders>
            <w:vAlign w:val="center"/>
          </w:tcPr>
          <w:p w14:paraId="0C99384E" w14:textId="77777777" w:rsidR="007E06A6" w:rsidRPr="00257F7A" w:rsidRDefault="007E06A6" w:rsidP="00796E8C">
            <w:pPr>
              <w:ind w:firstLine="0"/>
              <w:jc w:val="center"/>
            </w:pPr>
            <w:r>
              <w:t>Model</w:t>
            </w:r>
            <w:r w:rsidRPr="00257F7A">
              <w:t xml:space="preserve"> 3</w:t>
            </w:r>
          </w:p>
        </w:tc>
      </w:tr>
      <w:tr w:rsidR="007E06A6" w:rsidRPr="00257F7A" w14:paraId="2C61C01B" w14:textId="77777777" w:rsidTr="00796E8C">
        <w:trPr>
          <w:trHeight w:val="461"/>
        </w:trPr>
        <w:tc>
          <w:tcPr>
            <w:tcW w:w="4260" w:type="dxa"/>
            <w:tcBorders>
              <w:top w:val="nil"/>
              <w:left w:val="nil"/>
              <w:bottom w:val="single" w:sz="4" w:space="0" w:color="auto"/>
              <w:right w:val="nil"/>
            </w:tcBorders>
          </w:tcPr>
          <w:p w14:paraId="5EC050D1" w14:textId="77777777" w:rsidR="007E06A6" w:rsidRPr="00257F7A" w:rsidRDefault="007E06A6" w:rsidP="00796E8C">
            <w:pPr>
              <w:ind w:right="-111" w:firstLine="0"/>
            </w:pPr>
          </w:p>
        </w:tc>
        <w:tc>
          <w:tcPr>
            <w:tcW w:w="900" w:type="dxa"/>
            <w:tcBorders>
              <w:top w:val="single" w:sz="4" w:space="0" w:color="auto"/>
              <w:left w:val="nil"/>
              <w:bottom w:val="single" w:sz="4" w:space="0" w:color="auto"/>
              <w:right w:val="nil"/>
            </w:tcBorders>
            <w:vAlign w:val="center"/>
          </w:tcPr>
          <w:p w14:paraId="12E94429" w14:textId="77777777" w:rsidR="007E06A6" w:rsidRPr="00257F7A" w:rsidRDefault="007E06A6" w:rsidP="00796E8C">
            <w:pPr>
              <w:ind w:firstLine="0"/>
              <w:jc w:val="center"/>
              <w:rPr>
                <w:i/>
              </w:rPr>
            </w:pPr>
            <w:r w:rsidRPr="00257F7A">
              <w:rPr>
                <w:i/>
              </w:rPr>
              <w:t>B</w:t>
            </w:r>
          </w:p>
        </w:tc>
        <w:tc>
          <w:tcPr>
            <w:tcW w:w="810" w:type="dxa"/>
            <w:tcBorders>
              <w:top w:val="single" w:sz="4" w:space="0" w:color="auto"/>
              <w:left w:val="nil"/>
              <w:bottom w:val="single" w:sz="4" w:space="0" w:color="auto"/>
              <w:right w:val="nil"/>
            </w:tcBorders>
            <w:vAlign w:val="center"/>
          </w:tcPr>
          <w:p w14:paraId="19E89165" w14:textId="77777777" w:rsidR="007E06A6" w:rsidRPr="00257F7A" w:rsidRDefault="007E06A6" w:rsidP="00796E8C">
            <w:pPr>
              <w:ind w:firstLine="0"/>
              <w:jc w:val="both"/>
              <w:rPr>
                <w:i/>
              </w:rPr>
            </w:pPr>
            <w:r>
              <w:rPr>
                <w:i/>
              </w:rPr>
              <w:t xml:space="preserve"> </w:t>
            </w:r>
            <w:r w:rsidRPr="00257F7A">
              <w:rPr>
                <w:i/>
              </w:rPr>
              <w:t>SE B</w:t>
            </w:r>
          </w:p>
        </w:tc>
        <w:tc>
          <w:tcPr>
            <w:tcW w:w="810" w:type="dxa"/>
            <w:tcBorders>
              <w:top w:val="single" w:sz="4" w:space="0" w:color="auto"/>
              <w:left w:val="nil"/>
              <w:bottom w:val="single" w:sz="4" w:space="0" w:color="auto"/>
              <w:right w:val="nil"/>
            </w:tcBorders>
            <w:vAlign w:val="center"/>
          </w:tcPr>
          <w:p w14:paraId="0A1E8186" w14:textId="77777777" w:rsidR="007E06A6" w:rsidRPr="00257F7A" w:rsidRDefault="007E06A6" w:rsidP="00796E8C">
            <w:pPr>
              <w:ind w:right="-384" w:firstLine="0"/>
            </w:pPr>
            <w:r w:rsidRPr="00257F7A">
              <w:rPr>
                <w:i/>
              </w:rPr>
              <w:t xml:space="preserve">   β</w:t>
            </w:r>
          </w:p>
        </w:tc>
        <w:tc>
          <w:tcPr>
            <w:tcW w:w="450" w:type="dxa"/>
            <w:tcBorders>
              <w:top w:val="single" w:sz="4" w:space="0" w:color="auto"/>
              <w:left w:val="nil"/>
              <w:bottom w:val="single" w:sz="4" w:space="0" w:color="auto"/>
              <w:right w:val="nil"/>
            </w:tcBorders>
          </w:tcPr>
          <w:p w14:paraId="4F5B9D23" w14:textId="77777777" w:rsidR="007E06A6" w:rsidRPr="00257F7A" w:rsidRDefault="007E06A6" w:rsidP="00796E8C">
            <w:pPr>
              <w:ind w:firstLine="0"/>
            </w:pPr>
          </w:p>
        </w:tc>
        <w:tc>
          <w:tcPr>
            <w:tcW w:w="900" w:type="dxa"/>
            <w:tcBorders>
              <w:top w:val="single" w:sz="4" w:space="0" w:color="auto"/>
              <w:left w:val="nil"/>
              <w:bottom w:val="single" w:sz="4" w:space="0" w:color="auto"/>
              <w:right w:val="nil"/>
            </w:tcBorders>
            <w:vAlign w:val="center"/>
          </w:tcPr>
          <w:p w14:paraId="08A82F0B" w14:textId="77777777" w:rsidR="007E06A6" w:rsidRPr="00257F7A" w:rsidRDefault="007E06A6" w:rsidP="00796E8C">
            <w:pPr>
              <w:ind w:firstLine="0"/>
              <w:jc w:val="center"/>
            </w:pPr>
            <w:r w:rsidRPr="00257F7A">
              <w:rPr>
                <w:i/>
              </w:rPr>
              <w:t>B</w:t>
            </w:r>
          </w:p>
        </w:tc>
        <w:tc>
          <w:tcPr>
            <w:tcW w:w="990" w:type="dxa"/>
            <w:tcBorders>
              <w:top w:val="single" w:sz="4" w:space="0" w:color="auto"/>
              <w:left w:val="nil"/>
              <w:bottom w:val="single" w:sz="4" w:space="0" w:color="auto"/>
              <w:right w:val="nil"/>
            </w:tcBorders>
            <w:vAlign w:val="center"/>
          </w:tcPr>
          <w:p w14:paraId="37217EFB" w14:textId="77777777" w:rsidR="007E06A6" w:rsidRPr="00257F7A" w:rsidRDefault="007E06A6" w:rsidP="00796E8C">
            <w:pPr>
              <w:ind w:firstLine="0"/>
              <w:jc w:val="center"/>
            </w:pPr>
            <w:r w:rsidRPr="00257F7A">
              <w:rPr>
                <w:i/>
              </w:rPr>
              <w:t>SE B</w:t>
            </w:r>
          </w:p>
        </w:tc>
        <w:tc>
          <w:tcPr>
            <w:tcW w:w="1080" w:type="dxa"/>
            <w:gridSpan w:val="2"/>
            <w:tcBorders>
              <w:top w:val="single" w:sz="4" w:space="0" w:color="auto"/>
              <w:left w:val="nil"/>
              <w:bottom w:val="single" w:sz="4" w:space="0" w:color="auto"/>
              <w:right w:val="nil"/>
            </w:tcBorders>
            <w:vAlign w:val="center"/>
          </w:tcPr>
          <w:p w14:paraId="1B112FB0" w14:textId="77777777" w:rsidR="007E06A6" w:rsidRPr="00257F7A" w:rsidRDefault="007E06A6" w:rsidP="00796E8C">
            <w:pPr>
              <w:ind w:right="-176" w:firstLine="0"/>
            </w:pPr>
            <w:r w:rsidRPr="00257F7A">
              <w:rPr>
                <w:i/>
              </w:rPr>
              <w:t xml:space="preserve">     β</w:t>
            </w:r>
          </w:p>
        </w:tc>
        <w:tc>
          <w:tcPr>
            <w:tcW w:w="270" w:type="dxa"/>
            <w:tcBorders>
              <w:top w:val="single" w:sz="4" w:space="0" w:color="auto"/>
              <w:left w:val="nil"/>
              <w:bottom w:val="single" w:sz="4" w:space="0" w:color="auto"/>
              <w:right w:val="nil"/>
            </w:tcBorders>
          </w:tcPr>
          <w:p w14:paraId="7D5F37DE" w14:textId="77777777" w:rsidR="007E06A6" w:rsidRPr="00257F7A" w:rsidRDefault="007E06A6" w:rsidP="00796E8C">
            <w:pPr>
              <w:ind w:firstLine="0"/>
            </w:pPr>
          </w:p>
        </w:tc>
        <w:tc>
          <w:tcPr>
            <w:tcW w:w="900" w:type="dxa"/>
            <w:tcBorders>
              <w:top w:val="single" w:sz="4" w:space="0" w:color="auto"/>
              <w:left w:val="nil"/>
              <w:bottom w:val="single" w:sz="4" w:space="0" w:color="auto"/>
              <w:right w:val="nil"/>
            </w:tcBorders>
            <w:vAlign w:val="center"/>
          </w:tcPr>
          <w:p w14:paraId="48EF440C" w14:textId="77777777" w:rsidR="007E06A6" w:rsidRPr="00257F7A" w:rsidRDefault="007E06A6" w:rsidP="00796E8C">
            <w:pPr>
              <w:ind w:firstLine="0"/>
              <w:jc w:val="center"/>
            </w:pPr>
            <w:r w:rsidRPr="00257F7A">
              <w:rPr>
                <w:i/>
              </w:rPr>
              <w:t>B</w:t>
            </w:r>
          </w:p>
        </w:tc>
        <w:tc>
          <w:tcPr>
            <w:tcW w:w="810" w:type="dxa"/>
            <w:tcBorders>
              <w:top w:val="single" w:sz="4" w:space="0" w:color="auto"/>
              <w:left w:val="nil"/>
              <w:bottom w:val="single" w:sz="4" w:space="0" w:color="auto"/>
              <w:right w:val="nil"/>
            </w:tcBorders>
            <w:vAlign w:val="center"/>
          </w:tcPr>
          <w:p w14:paraId="1E1258B4" w14:textId="77777777" w:rsidR="007E06A6" w:rsidRPr="00257F7A" w:rsidRDefault="007E06A6" w:rsidP="00796E8C">
            <w:pPr>
              <w:ind w:firstLine="0"/>
              <w:jc w:val="center"/>
            </w:pPr>
            <w:r w:rsidRPr="00257F7A">
              <w:rPr>
                <w:i/>
              </w:rPr>
              <w:t>SE B</w:t>
            </w:r>
          </w:p>
        </w:tc>
        <w:tc>
          <w:tcPr>
            <w:tcW w:w="875" w:type="dxa"/>
            <w:tcBorders>
              <w:top w:val="single" w:sz="4" w:space="0" w:color="auto"/>
              <w:left w:val="nil"/>
              <w:bottom w:val="single" w:sz="4" w:space="0" w:color="auto"/>
              <w:right w:val="nil"/>
            </w:tcBorders>
            <w:vAlign w:val="center"/>
          </w:tcPr>
          <w:p w14:paraId="40E1AAC9" w14:textId="77777777" w:rsidR="007E06A6" w:rsidRPr="00257F7A" w:rsidRDefault="007E06A6" w:rsidP="00796E8C">
            <w:pPr>
              <w:ind w:right="-176" w:firstLine="0"/>
            </w:pPr>
            <w:r w:rsidRPr="00257F7A">
              <w:rPr>
                <w:i/>
              </w:rPr>
              <w:t xml:space="preserve">    β</w:t>
            </w:r>
          </w:p>
        </w:tc>
      </w:tr>
      <w:tr w:rsidR="007E06A6" w:rsidRPr="00257F7A" w14:paraId="6D99994B" w14:textId="77777777" w:rsidTr="00796E8C">
        <w:trPr>
          <w:trHeight w:val="461"/>
        </w:trPr>
        <w:tc>
          <w:tcPr>
            <w:tcW w:w="4260" w:type="dxa"/>
            <w:tcBorders>
              <w:top w:val="single" w:sz="4" w:space="0" w:color="auto"/>
              <w:left w:val="nil"/>
              <w:bottom w:val="nil"/>
              <w:right w:val="nil"/>
            </w:tcBorders>
            <w:vAlign w:val="center"/>
          </w:tcPr>
          <w:p w14:paraId="3D13928B" w14:textId="77777777" w:rsidR="007E06A6" w:rsidRPr="00257F7A" w:rsidRDefault="007E06A6" w:rsidP="00796E8C">
            <w:pPr>
              <w:ind w:right="-111" w:firstLine="0"/>
              <w:contextualSpacing/>
            </w:pPr>
            <w:r w:rsidRPr="00257F7A">
              <w:t>Age</w:t>
            </w:r>
          </w:p>
        </w:tc>
        <w:tc>
          <w:tcPr>
            <w:tcW w:w="900" w:type="dxa"/>
            <w:tcBorders>
              <w:top w:val="single" w:sz="4" w:space="0" w:color="auto"/>
              <w:left w:val="nil"/>
              <w:bottom w:val="nil"/>
              <w:right w:val="nil"/>
            </w:tcBorders>
            <w:vAlign w:val="center"/>
          </w:tcPr>
          <w:p w14:paraId="32E9A3F5" w14:textId="77777777" w:rsidR="007E06A6" w:rsidRPr="00257F7A" w:rsidRDefault="007E06A6" w:rsidP="00B86CDE">
            <w:pPr>
              <w:tabs>
                <w:tab w:val="decimal" w:pos="-46"/>
                <w:tab w:val="decimal" w:pos="134"/>
              </w:tabs>
              <w:ind w:firstLine="0"/>
              <w:contextualSpacing/>
            </w:pPr>
            <w:r w:rsidRPr="00257F7A">
              <w:t>-</w:t>
            </w:r>
            <w:r>
              <w:t>0.3</w:t>
            </w:r>
          </w:p>
        </w:tc>
        <w:tc>
          <w:tcPr>
            <w:tcW w:w="810" w:type="dxa"/>
            <w:tcBorders>
              <w:top w:val="single" w:sz="4" w:space="0" w:color="auto"/>
              <w:left w:val="nil"/>
              <w:bottom w:val="nil"/>
              <w:right w:val="nil"/>
            </w:tcBorders>
            <w:vAlign w:val="center"/>
          </w:tcPr>
          <w:p w14:paraId="4843B017" w14:textId="77777777" w:rsidR="007E06A6" w:rsidRPr="00257F7A" w:rsidRDefault="007E06A6" w:rsidP="00796E8C">
            <w:pPr>
              <w:tabs>
                <w:tab w:val="decimal" w:pos="74"/>
              </w:tabs>
              <w:ind w:firstLine="0"/>
              <w:contextualSpacing/>
            </w:pPr>
            <w:r w:rsidRPr="00257F7A">
              <w:t>.19</w:t>
            </w:r>
          </w:p>
        </w:tc>
        <w:tc>
          <w:tcPr>
            <w:tcW w:w="810" w:type="dxa"/>
            <w:tcBorders>
              <w:top w:val="single" w:sz="4" w:space="0" w:color="auto"/>
              <w:left w:val="nil"/>
              <w:bottom w:val="nil"/>
              <w:right w:val="nil"/>
            </w:tcBorders>
            <w:vAlign w:val="center"/>
          </w:tcPr>
          <w:p w14:paraId="67C74423" w14:textId="77777777" w:rsidR="007E06A6" w:rsidRPr="00257F7A" w:rsidRDefault="007E06A6" w:rsidP="00796E8C">
            <w:pPr>
              <w:tabs>
                <w:tab w:val="decimal" w:pos="44"/>
              </w:tabs>
              <w:ind w:right="-289" w:firstLine="0"/>
              <w:contextualSpacing/>
            </w:pPr>
            <w:r w:rsidRPr="00257F7A">
              <w:t>-.01</w:t>
            </w:r>
          </w:p>
        </w:tc>
        <w:tc>
          <w:tcPr>
            <w:tcW w:w="450" w:type="dxa"/>
            <w:tcBorders>
              <w:top w:val="single" w:sz="4" w:space="0" w:color="auto"/>
              <w:left w:val="nil"/>
              <w:bottom w:val="nil"/>
              <w:right w:val="nil"/>
            </w:tcBorders>
            <w:vAlign w:val="center"/>
          </w:tcPr>
          <w:p w14:paraId="628DCE20" w14:textId="77777777" w:rsidR="007E06A6" w:rsidRPr="00257F7A" w:rsidRDefault="007E06A6" w:rsidP="00796E8C">
            <w:pPr>
              <w:ind w:firstLine="0"/>
              <w:contextualSpacing/>
            </w:pPr>
          </w:p>
        </w:tc>
        <w:tc>
          <w:tcPr>
            <w:tcW w:w="900" w:type="dxa"/>
            <w:tcBorders>
              <w:top w:val="single" w:sz="4" w:space="0" w:color="auto"/>
              <w:left w:val="nil"/>
              <w:bottom w:val="nil"/>
              <w:right w:val="nil"/>
            </w:tcBorders>
            <w:vAlign w:val="center"/>
          </w:tcPr>
          <w:p w14:paraId="7529928A" w14:textId="77777777" w:rsidR="007E06A6" w:rsidRPr="00257F7A" w:rsidRDefault="007E06A6" w:rsidP="00796E8C">
            <w:pPr>
              <w:tabs>
                <w:tab w:val="decimal" w:pos="200"/>
              </w:tabs>
              <w:ind w:left="-192" w:firstLine="0"/>
              <w:contextualSpacing/>
            </w:pPr>
            <w:r w:rsidRPr="00257F7A">
              <w:t xml:space="preserve">   -.1</w:t>
            </w:r>
            <w:r>
              <w:t>1</w:t>
            </w:r>
          </w:p>
        </w:tc>
        <w:tc>
          <w:tcPr>
            <w:tcW w:w="990" w:type="dxa"/>
            <w:tcBorders>
              <w:top w:val="single" w:sz="4" w:space="0" w:color="auto"/>
              <w:left w:val="nil"/>
              <w:bottom w:val="nil"/>
              <w:right w:val="nil"/>
            </w:tcBorders>
            <w:vAlign w:val="center"/>
          </w:tcPr>
          <w:p w14:paraId="56E7AE12" w14:textId="77777777" w:rsidR="007E06A6" w:rsidRPr="00257F7A" w:rsidRDefault="007E06A6" w:rsidP="00796E8C">
            <w:pPr>
              <w:tabs>
                <w:tab w:val="decimal" w:pos="256"/>
              </w:tabs>
              <w:ind w:firstLine="0"/>
              <w:contextualSpacing/>
            </w:pPr>
            <w:r w:rsidRPr="00257F7A">
              <w:t>.18</w:t>
            </w:r>
          </w:p>
        </w:tc>
        <w:tc>
          <w:tcPr>
            <w:tcW w:w="1080" w:type="dxa"/>
            <w:gridSpan w:val="2"/>
            <w:tcBorders>
              <w:top w:val="single" w:sz="4" w:space="0" w:color="auto"/>
              <w:left w:val="nil"/>
              <w:bottom w:val="nil"/>
              <w:right w:val="nil"/>
            </w:tcBorders>
            <w:vAlign w:val="center"/>
          </w:tcPr>
          <w:p w14:paraId="110DBEC9" w14:textId="77777777" w:rsidR="007E06A6" w:rsidRPr="00257F7A" w:rsidRDefault="007E06A6" w:rsidP="00796E8C">
            <w:pPr>
              <w:tabs>
                <w:tab w:val="decimal" w:pos="96"/>
                <w:tab w:val="decimal" w:pos="307"/>
              </w:tabs>
              <w:ind w:left="166" w:right="-244" w:firstLine="0"/>
              <w:contextualSpacing/>
            </w:pPr>
            <w:r w:rsidRPr="00257F7A">
              <w:t>-.0</w:t>
            </w:r>
            <w:r>
              <w:t>3</w:t>
            </w:r>
          </w:p>
        </w:tc>
        <w:tc>
          <w:tcPr>
            <w:tcW w:w="270" w:type="dxa"/>
            <w:tcBorders>
              <w:top w:val="single" w:sz="4" w:space="0" w:color="auto"/>
              <w:left w:val="nil"/>
              <w:bottom w:val="nil"/>
              <w:right w:val="nil"/>
            </w:tcBorders>
            <w:vAlign w:val="center"/>
          </w:tcPr>
          <w:p w14:paraId="575CDB1E" w14:textId="77777777" w:rsidR="007E06A6" w:rsidRPr="00257F7A" w:rsidRDefault="007E06A6" w:rsidP="00796E8C">
            <w:pPr>
              <w:ind w:firstLine="0"/>
              <w:contextualSpacing/>
            </w:pPr>
          </w:p>
        </w:tc>
        <w:tc>
          <w:tcPr>
            <w:tcW w:w="900" w:type="dxa"/>
            <w:tcBorders>
              <w:top w:val="single" w:sz="4" w:space="0" w:color="auto"/>
              <w:left w:val="nil"/>
              <w:bottom w:val="nil"/>
              <w:right w:val="nil"/>
            </w:tcBorders>
            <w:vAlign w:val="center"/>
          </w:tcPr>
          <w:p w14:paraId="204EED49" w14:textId="77777777" w:rsidR="007E06A6" w:rsidRPr="00257F7A" w:rsidRDefault="007E06A6" w:rsidP="00796E8C">
            <w:pPr>
              <w:tabs>
                <w:tab w:val="decimal" w:pos="230"/>
              </w:tabs>
              <w:ind w:left="-191" w:firstLine="0"/>
              <w:contextualSpacing/>
            </w:pPr>
            <w:r w:rsidRPr="00257F7A">
              <w:t>-.1</w:t>
            </w:r>
            <w:r>
              <w:t>1</w:t>
            </w:r>
          </w:p>
        </w:tc>
        <w:tc>
          <w:tcPr>
            <w:tcW w:w="810" w:type="dxa"/>
            <w:tcBorders>
              <w:top w:val="single" w:sz="4" w:space="0" w:color="auto"/>
              <w:left w:val="nil"/>
              <w:bottom w:val="nil"/>
              <w:right w:val="nil"/>
            </w:tcBorders>
            <w:vAlign w:val="center"/>
          </w:tcPr>
          <w:p w14:paraId="0EF1C5C4" w14:textId="77777777" w:rsidR="007E06A6" w:rsidRPr="00257F7A" w:rsidRDefault="007E06A6" w:rsidP="00796E8C">
            <w:pPr>
              <w:tabs>
                <w:tab w:val="decimal" w:pos="134"/>
              </w:tabs>
              <w:ind w:firstLine="0"/>
              <w:contextualSpacing/>
            </w:pPr>
            <w:r w:rsidRPr="00257F7A">
              <w:t>.18</w:t>
            </w:r>
          </w:p>
        </w:tc>
        <w:tc>
          <w:tcPr>
            <w:tcW w:w="875" w:type="dxa"/>
            <w:tcBorders>
              <w:top w:val="single" w:sz="4" w:space="0" w:color="auto"/>
              <w:left w:val="nil"/>
              <w:bottom w:val="nil"/>
              <w:right w:val="nil"/>
            </w:tcBorders>
            <w:vAlign w:val="center"/>
          </w:tcPr>
          <w:p w14:paraId="6C3CA52D" w14:textId="77777777" w:rsidR="007E06A6" w:rsidRPr="00257F7A" w:rsidRDefault="007E06A6" w:rsidP="00796E8C">
            <w:pPr>
              <w:tabs>
                <w:tab w:val="decimal" w:pos="99"/>
              </w:tabs>
              <w:ind w:right="-176" w:firstLine="0"/>
              <w:contextualSpacing/>
            </w:pPr>
            <w:r w:rsidRPr="00257F7A">
              <w:t>-.0</w:t>
            </w:r>
            <w:r>
              <w:t>3</w:t>
            </w:r>
          </w:p>
        </w:tc>
      </w:tr>
      <w:tr w:rsidR="007E06A6" w:rsidRPr="00257F7A" w14:paraId="5604D366" w14:textId="77777777" w:rsidTr="00796E8C">
        <w:trPr>
          <w:trHeight w:val="461"/>
        </w:trPr>
        <w:tc>
          <w:tcPr>
            <w:tcW w:w="4260" w:type="dxa"/>
            <w:tcBorders>
              <w:top w:val="nil"/>
              <w:left w:val="nil"/>
              <w:bottom w:val="nil"/>
              <w:right w:val="nil"/>
            </w:tcBorders>
            <w:vAlign w:val="center"/>
          </w:tcPr>
          <w:p w14:paraId="389ACC74" w14:textId="77777777" w:rsidR="007E06A6" w:rsidRPr="00257F7A" w:rsidRDefault="007E06A6" w:rsidP="00796E8C">
            <w:pPr>
              <w:ind w:right="-111" w:firstLine="0"/>
              <w:contextualSpacing/>
            </w:pPr>
            <w:r w:rsidRPr="00257F7A">
              <w:t>Sex</w:t>
            </w:r>
          </w:p>
        </w:tc>
        <w:tc>
          <w:tcPr>
            <w:tcW w:w="900" w:type="dxa"/>
            <w:tcBorders>
              <w:top w:val="nil"/>
              <w:left w:val="nil"/>
              <w:bottom w:val="nil"/>
              <w:right w:val="nil"/>
            </w:tcBorders>
            <w:vAlign w:val="center"/>
          </w:tcPr>
          <w:p w14:paraId="25A261DF" w14:textId="77777777" w:rsidR="007E06A6" w:rsidRPr="00257F7A" w:rsidRDefault="007E06A6" w:rsidP="00796E8C">
            <w:pPr>
              <w:tabs>
                <w:tab w:val="decimal" w:pos="134"/>
              </w:tabs>
              <w:ind w:right="-193" w:firstLine="0"/>
              <w:contextualSpacing/>
            </w:pPr>
            <w:r w:rsidRPr="00257F7A">
              <w:t>1.</w:t>
            </w:r>
            <w:r>
              <w:t>05</w:t>
            </w:r>
          </w:p>
        </w:tc>
        <w:tc>
          <w:tcPr>
            <w:tcW w:w="810" w:type="dxa"/>
            <w:tcBorders>
              <w:top w:val="nil"/>
              <w:left w:val="nil"/>
              <w:bottom w:val="nil"/>
              <w:right w:val="nil"/>
            </w:tcBorders>
            <w:vAlign w:val="center"/>
          </w:tcPr>
          <w:p w14:paraId="619178C8" w14:textId="77777777" w:rsidR="007E06A6" w:rsidRPr="00257F7A" w:rsidRDefault="007E06A6" w:rsidP="00796E8C">
            <w:pPr>
              <w:tabs>
                <w:tab w:val="decimal" w:pos="74"/>
              </w:tabs>
              <w:ind w:firstLine="0"/>
              <w:contextualSpacing/>
            </w:pPr>
            <w:r w:rsidRPr="00257F7A">
              <w:t>.5</w:t>
            </w:r>
            <w:r>
              <w:t>6</w:t>
            </w:r>
          </w:p>
        </w:tc>
        <w:tc>
          <w:tcPr>
            <w:tcW w:w="810" w:type="dxa"/>
            <w:tcBorders>
              <w:top w:val="nil"/>
              <w:left w:val="nil"/>
              <w:bottom w:val="nil"/>
              <w:right w:val="nil"/>
            </w:tcBorders>
            <w:vAlign w:val="center"/>
          </w:tcPr>
          <w:p w14:paraId="24D38984" w14:textId="77777777" w:rsidR="007E06A6" w:rsidRPr="00257F7A" w:rsidRDefault="007E06A6" w:rsidP="00796E8C">
            <w:pPr>
              <w:ind w:right="-289" w:firstLine="0"/>
              <w:contextualSpacing/>
            </w:pPr>
            <w:r w:rsidRPr="00257F7A">
              <w:t xml:space="preserve"> .</w:t>
            </w:r>
            <w:r>
              <w:t>09</w:t>
            </w:r>
          </w:p>
        </w:tc>
        <w:tc>
          <w:tcPr>
            <w:tcW w:w="450" w:type="dxa"/>
            <w:tcBorders>
              <w:top w:val="nil"/>
              <w:left w:val="nil"/>
              <w:bottom w:val="nil"/>
              <w:right w:val="nil"/>
            </w:tcBorders>
            <w:vAlign w:val="center"/>
          </w:tcPr>
          <w:p w14:paraId="624F6644"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1B132C53" w14:textId="77777777" w:rsidR="007E06A6" w:rsidRPr="00257F7A" w:rsidRDefault="007E06A6" w:rsidP="00796E8C">
            <w:pPr>
              <w:tabs>
                <w:tab w:val="decimal" w:pos="200"/>
              </w:tabs>
              <w:ind w:left="-192" w:firstLine="0"/>
              <w:contextualSpacing/>
            </w:pPr>
            <w:r w:rsidRPr="00257F7A">
              <w:t xml:space="preserve">    .</w:t>
            </w:r>
            <w:r>
              <w:t>23</w:t>
            </w:r>
          </w:p>
        </w:tc>
        <w:tc>
          <w:tcPr>
            <w:tcW w:w="990" w:type="dxa"/>
            <w:tcBorders>
              <w:top w:val="nil"/>
              <w:left w:val="nil"/>
              <w:bottom w:val="nil"/>
              <w:right w:val="nil"/>
            </w:tcBorders>
            <w:vAlign w:val="center"/>
          </w:tcPr>
          <w:p w14:paraId="49983C07" w14:textId="77777777" w:rsidR="007E06A6" w:rsidRPr="00257F7A" w:rsidRDefault="007E06A6" w:rsidP="00796E8C">
            <w:pPr>
              <w:tabs>
                <w:tab w:val="decimal" w:pos="256"/>
              </w:tabs>
              <w:ind w:firstLine="0"/>
              <w:contextualSpacing/>
            </w:pPr>
            <w:r w:rsidRPr="00257F7A">
              <w:t>.5</w:t>
            </w:r>
            <w:r>
              <w:t>2</w:t>
            </w:r>
          </w:p>
        </w:tc>
        <w:tc>
          <w:tcPr>
            <w:tcW w:w="1080" w:type="dxa"/>
            <w:gridSpan w:val="2"/>
            <w:tcBorders>
              <w:top w:val="nil"/>
              <w:left w:val="nil"/>
              <w:bottom w:val="nil"/>
              <w:right w:val="nil"/>
            </w:tcBorders>
            <w:vAlign w:val="center"/>
          </w:tcPr>
          <w:p w14:paraId="7043A425" w14:textId="77777777" w:rsidR="007E06A6" w:rsidRPr="00257F7A" w:rsidRDefault="007E06A6" w:rsidP="00796E8C">
            <w:pPr>
              <w:tabs>
                <w:tab w:val="decimal" w:pos="224"/>
              </w:tabs>
              <w:ind w:left="166" w:right="-244" w:firstLine="0"/>
              <w:contextualSpacing/>
            </w:pPr>
            <w:r w:rsidRPr="00257F7A">
              <w:t>.0</w:t>
            </w:r>
            <w:r>
              <w:t>2</w:t>
            </w:r>
          </w:p>
        </w:tc>
        <w:tc>
          <w:tcPr>
            <w:tcW w:w="270" w:type="dxa"/>
            <w:tcBorders>
              <w:top w:val="nil"/>
              <w:left w:val="nil"/>
              <w:bottom w:val="nil"/>
              <w:right w:val="nil"/>
            </w:tcBorders>
            <w:vAlign w:val="center"/>
          </w:tcPr>
          <w:p w14:paraId="6DFD03D8"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1E895E98" w14:textId="77777777" w:rsidR="007E06A6" w:rsidRPr="00257F7A" w:rsidRDefault="007E06A6" w:rsidP="00796E8C">
            <w:pPr>
              <w:tabs>
                <w:tab w:val="decimal" w:pos="230"/>
              </w:tabs>
              <w:ind w:left="-191" w:firstLine="0"/>
              <w:contextualSpacing/>
            </w:pPr>
            <w:r w:rsidRPr="00257F7A">
              <w:t xml:space="preserve"> .</w:t>
            </w:r>
            <w:r>
              <w:t>19</w:t>
            </w:r>
          </w:p>
        </w:tc>
        <w:tc>
          <w:tcPr>
            <w:tcW w:w="810" w:type="dxa"/>
            <w:tcBorders>
              <w:top w:val="nil"/>
              <w:left w:val="nil"/>
              <w:bottom w:val="nil"/>
              <w:right w:val="nil"/>
            </w:tcBorders>
            <w:vAlign w:val="center"/>
          </w:tcPr>
          <w:p w14:paraId="16FEC111" w14:textId="77777777" w:rsidR="007E06A6" w:rsidRPr="00257F7A" w:rsidRDefault="007E06A6" w:rsidP="00796E8C">
            <w:pPr>
              <w:tabs>
                <w:tab w:val="decimal" w:pos="134"/>
              </w:tabs>
              <w:ind w:firstLine="0"/>
              <w:contextualSpacing/>
            </w:pPr>
            <w:r w:rsidRPr="00257F7A">
              <w:t>.5</w:t>
            </w:r>
            <w:r>
              <w:t>2</w:t>
            </w:r>
          </w:p>
        </w:tc>
        <w:tc>
          <w:tcPr>
            <w:tcW w:w="875" w:type="dxa"/>
            <w:tcBorders>
              <w:top w:val="nil"/>
              <w:left w:val="nil"/>
              <w:bottom w:val="nil"/>
              <w:right w:val="nil"/>
            </w:tcBorders>
            <w:vAlign w:val="center"/>
          </w:tcPr>
          <w:p w14:paraId="46416678" w14:textId="77777777" w:rsidR="007E06A6" w:rsidRPr="00257F7A" w:rsidRDefault="007E06A6" w:rsidP="00796E8C">
            <w:pPr>
              <w:tabs>
                <w:tab w:val="decimal" w:pos="99"/>
              </w:tabs>
              <w:ind w:right="-176" w:firstLine="0"/>
              <w:contextualSpacing/>
            </w:pPr>
            <w:r w:rsidRPr="00257F7A">
              <w:t xml:space="preserve">  .02</w:t>
            </w:r>
          </w:p>
        </w:tc>
      </w:tr>
      <w:tr w:rsidR="007E06A6" w:rsidRPr="00257F7A" w14:paraId="7D358E89" w14:textId="77777777" w:rsidTr="00796E8C">
        <w:trPr>
          <w:trHeight w:val="461"/>
        </w:trPr>
        <w:tc>
          <w:tcPr>
            <w:tcW w:w="4260" w:type="dxa"/>
            <w:tcBorders>
              <w:top w:val="nil"/>
              <w:left w:val="nil"/>
              <w:bottom w:val="nil"/>
              <w:right w:val="nil"/>
            </w:tcBorders>
            <w:vAlign w:val="center"/>
          </w:tcPr>
          <w:p w14:paraId="122EC6AD" w14:textId="77777777" w:rsidR="007E06A6" w:rsidRPr="00257F7A" w:rsidRDefault="007E06A6" w:rsidP="00796E8C">
            <w:pPr>
              <w:ind w:right="-111" w:firstLine="0"/>
              <w:contextualSpacing/>
              <w:jc w:val="both"/>
            </w:pPr>
            <w:r w:rsidRPr="00257F7A">
              <w:t>Race White</w:t>
            </w:r>
          </w:p>
        </w:tc>
        <w:tc>
          <w:tcPr>
            <w:tcW w:w="900" w:type="dxa"/>
            <w:tcBorders>
              <w:top w:val="nil"/>
              <w:left w:val="nil"/>
              <w:bottom w:val="nil"/>
              <w:right w:val="nil"/>
            </w:tcBorders>
            <w:vAlign w:val="center"/>
          </w:tcPr>
          <w:p w14:paraId="27888D6D" w14:textId="77777777" w:rsidR="007E06A6" w:rsidRPr="00257F7A" w:rsidRDefault="007E06A6" w:rsidP="00796E8C">
            <w:pPr>
              <w:tabs>
                <w:tab w:val="decimal" w:pos="0"/>
                <w:tab w:val="decimal" w:pos="149"/>
                <w:tab w:val="decimal" w:pos="404"/>
              </w:tabs>
              <w:ind w:left="-46" w:right="-193" w:firstLine="0"/>
              <w:contextualSpacing/>
            </w:pPr>
            <w:r w:rsidRPr="00257F7A">
              <w:t>-1.</w:t>
            </w:r>
            <w:r>
              <w:t>54</w:t>
            </w:r>
          </w:p>
        </w:tc>
        <w:tc>
          <w:tcPr>
            <w:tcW w:w="810" w:type="dxa"/>
            <w:tcBorders>
              <w:top w:val="nil"/>
              <w:left w:val="nil"/>
              <w:bottom w:val="nil"/>
              <w:right w:val="nil"/>
            </w:tcBorders>
            <w:vAlign w:val="center"/>
          </w:tcPr>
          <w:p w14:paraId="3CA65960" w14:textId="77777777" w:rsidR="007E06A6" w:rsidRPr="00257F7A" w:rsidRDefault="007E06A6" w:rsidP="00796E8C">
            <w:pPr>
              <w:tabs>
                <w:tab w:val="decimal" w:pos="74"/>
              </w:tabs>
              <w:ind w:firstLine="0"/>
              <w:contextualSpacing/>
            </w:pPr>
            <w:r w:rsidRPr="00257F7A">
              <w:t>1.</w:t>
            </w:r>
            <w:r>
              <w:t>63</w:t>
            </w:r>
          </w:p>
        </w:tc>
        <w:tc>
          <w:tcPr>
            <w:tcW w:w="810" w:type="dxa"/>
            <w:tcBorders>
              <w:top w:val="nil"/>
              <w:left w:val="nil"/>
              <w:bottom w:val="nil"/>
              <w:right w:val="nil"/>
            </w:tcBorders>
            <w:vAlign w:val="center"/>
          </w:tcPr>
          <w:p w14:paraId="54BF9C5A" w14:textId="77777777" w:rsidR="007E06A6" w:rsidRPr="00257F7A" w:rsidRDefault="007E06A6" w:rsidP="00796E8C">
            <w:pPr>
              <w:ind w:right="-289" w:firstLine="0"/>
              <w:contextualSpacing/>
            </w:pPr>
            <w:r w:rsidRPr="00257F7A">
              <w:t>-.</w:t>
            </w:r>
            <w:r>
              <w:t>11</w:t>
            </w:r>
          </w:p>
        </w:tc>
        <w:tc>
          <w:tcPr>
            <w:tcW w:w="450" w:type="dxa"/>
            <w:tcBorders>
              <w:top w:val="nil"/>
              <w:left w:val="nil"/>
              <w:bottom w:val="nil"/>
              <w:right w:val="nil"/>
            </w:tcBorders>
            <w:vAlign w:val="center"/>
          </w:tcPr>
          <w:p w14:paraId="55DE18C9" w14:textId="77777777" w:rsidR="007E06A6" w:rsidRPr="00257F7A" w:rsidRDefault="007E06A6" w:rsidP="00796E8C">
            <w:pPr>
              <w:contextualSpacing/>
            </w:pPr>
          </w:p>
        </w:tc>
        <w:tc>
          <w:tcPr>
            <w:tcW w:w="900" w:type="dxa"/>
            <w:tcBorders>
              <w:top w:val="nil"/>
              <w:left w:val="nil"/>
              <w:bottom w:val="nil"/>
              <w:right w:val="nil"/>
            </w:tcBorders>
            <w:vAlign w:val="center"/>
          </w:tcPr>
          <w:p w14:paraId="4469CD08" w14:textId="77777777" w:rsidR="007E06A6" w:rsidRPr="00257F7A" w:rsidRDefault="007E06A6" w:rsidP="00796E8C">
            <w:pPr>
              <w:tabs>
                <w:tab w:val="decimal" w:pos="200"/>
              </w:tabs>
              <w:ind w:left="-192" w:firstLine="192"/>
              <w:contextualSpacing/>
            </w:pPr>
            <w:r w:rsidRPr="00257F7A">
              <w:t>-.</w:t>
            </w:r>
            <w:r>
              <w:t>53</w:t>
            </w:r>
          </w:p>
        </w:tc>
        <w:tc>
          <w:tcPr>
            <w:tcW w:w="990" w:type="dxa"/>
            <w:tcBorders>
              <w:top w:val="nil"/>
              <w:left w:val="nil"/>
              <w:bottom w:val="nil"/>
              <w:right w:val="nil"/>
            </w:tcBorders>
            <w:vAlign w:val="center"/>
          </w:tcPr>
          <w:p w14:paraId="29EB88F8" w14:textId="77777777" w:rsidR="007E06A6" w:rsidRPr="00257F7A" w:rsidRDefault="007E06A6" w:rsidP="00796E8C">
            <w:pPr>
              <w:tabs>
                <w:tab w:val="decimal" w:pos="526"/>
                <w:tab w:val="decimal" w:pos="616"/>
              </w:tabs>
              <w:ind w:left="-39" w:firstLine="0"/>
              <w:contextualSpacing/>
              <w:jc w:val="center"/>
            </w:pPr>
            <w:r w:rsidRPr="00257F7A">
              <w:t>1.</w:t>
            </w:r>
            <w:r>
              <w:t>50</w:t>
            </w:r>
          </w:p>
        </w:tc>
        <w:tc>
          <w:tcPr>
            <w:tcW w:w="1080" w:type="dxa"/>
            <w:gridSpan w:val="2"/>
            <w:tcBorders>
              <w:top w:val="nil"/>
              <w:left w:val="nil"/>
              <w:bottom w:val="nil"/>
              <w:right w:val="nil"/>
            </w:tcBorders>
            <w:vAlign w:val="center"/>
          </w:tcPr>
          <w:p w14:paraId="4BF25C7F" w14:textId="77777777" w:rsidR="007E06A6" w:rsidRPr="00257F7A" w:rsidRDefault="007E06A6" w:rsidP="00796E8C">
            <w:pPr>
              <w:tabs>
                <w:tab w:val="decimal" w:pos="96"/>
              </w:tabs>
              <w:ind w:left="166" w:right="-244" w:firstLine="11"/>
              <w:contextualSpacing/>
            </w:pPr>
            <w:r w:rsidRPr="00257F7A">
              <w:t>-.0</w:t>
            </w:r>
            <w:r>
              <w:t>4</w:t>
            </w:r>
          </w:p>
        </w:tc>
        <w:tc>
          <w:tcPr>
            <w:tcW w:w="270" w:type="dxa"/>
            <w:tcBorders>
              <w:top w:val="nil"/>
              <w:left w:val="nil"/>
              <w:bottom w:val="nil"/>
              <w:right w:val="nil"/>
            </w:tcBorders>
            <w:vAlign w:val="center"/>
          </w:tcPr>
          <w:p w14:paraId="2BD35C24" w14:textId="77777777" w:rsidR="007E06A6" w:rsidRPr="00257F7A" w:rsidRDefault="007E06A6" w:rsidP="00796E8C">
            <w:pPr>
              <w:contextualSpacing/>
            </w:pPr>
          </w:p>
        </w:tc>
        <w:tc>
          <w:tcPr>
            <w:tcW w:w="900" w:type="dxa"/>
            <w:tcBorders>
              <w:top w:val="nil"/>
              <w:left w:val="nil"/>
              <w:bottom w:val="nil"/>
              <w:right w:val="nil"/>
            </w:tcBorders>
            <w:vAlign w:val="center"/>
          </w:tcPr>
          <w:p w14:paraId="6682890C" w14:textId="77777777" w:rsidR="007E06A6" w:rsidRPr="00257F7A" w:rsidRDefault="007E06A6" w:rsidP="00796E8C">
            <w:pPr>
              <w:tabs>
                <w:tab w:val="decimal" w:pos="230"/>
              </w:tabs>
              <w:ind w:left="-191" w:firstLine="232"/>
              <w:contextualSpacing/>
            </w:pPr>
            <w:r w:rsidRPr="00257F7A">
              <w:t>-.</w:t>
            </w:r>
            <w:r>
              <w:t>53</w:t>
            </w:r>
          </w:p>
        </w:tc>
        <w:tc>
          <w:tcPr>
            <w:tcW w:w="810" w:type="dxa"/>
            <w:tcBorders>
              <w:top w:val="nil"/>
              <w:left w:val="nil"/>
              <w:bottom w:val="nil"/>
              <w:right w:val="nil"/>
            </w:tcBorders>
            <w:vAlign w:val="center"/>
          </w:tcPr>
          <w:p w14:paraId="38D08580" w14:textId="77777777" w:rsidR="007E06A6" w:rsidRPr="00257F7A" w:rsidRDefault="007E06A6" w:rsidP="00796E8C">
            <w:pPr>
              <w:tabs>
                <w:tab w:val="decimal" w:pos="134"/>
              </w:tabs>
              <w:ind w:firstLine="0"/>
              <w:contextualSpacing/>
            </w:pPr>
            <w:r w:rsidRPr="00257F7A">
              <w:t>1.4</w:t>
            </w:r>
            <w:r>
              <w:t>8</w:t>
            </w:r>
          </w:p>
        </w:tc>
        <w:tc>
          <w:tcPr>
            <w:tcW w:w="875" w:type="dxa"/>
            <w:tcBorders>
              <w:top w:val="nil"/>
              <w:left w:val="nil"/>
              <w:bottom w:val="nil"/>
              <w:right w:val="nil"/>
            </w:tcBorders>
            <w:vAlign w:val="center"/>
          </w:tcPr>
          <w:p w14:paraId="329E47CF" w14:textId="77777777" w:rsidR="007E06A6" w:rsidRPr="00257F7A" w:rsidRDefault="007E06A6" w:rsidP="00796E8C">
            <w:pPr>
              <w:tabs>
                <w:tab w:val="decimal" w:pos="99"/>
              </w:tabs>
              <w:ind w:right="-176" w:firstLine="16"/>
              <w:contextualSpacing/>
            </w:pPr>
            <w:r>
              <w:t xml:space="preserve"> </w:t>
            </w:r>
            <w:r w:rsidRPr="00257F7A">
              <w:t>-.0</w:t>
            </w:r>
            <w:r>
              <w:t>4</w:t>
            </w:r>
          </w:p>
        </w:tc>
      </w:tr>
      <w:tr w:rsidR="007E06A6" w:rsidRPr="00257F7A" w14:paraId="47A06392" w14:textId="77777777" w:rsidTr="00796E8C">
        <w:trPr>
          <w:trHeight w:val="461"/>
        </w:trPr>
        <w:tc>
          <w:tcPr>
            <w:tcW w:w="4260" w:type="dxa"/>
            <w:tcBorders>
              <w:top w:val="nil"/>
              <w:left w:val="nil"/>
              <w:bottom w:val="nil"/>
              <w:right w:val="nil"/>
            </w:tcBorders>
            <w:vAlign w:val="center"/>
          </w:tcPr>
          <w:p w14:paraId="0AAA22C5" w14:textId="77777777" w:rsidR="007E06A6" w:rsidRPr="00257F7A" w:rsidRDefault="007E06A6" w:rsidP="00796E8C">
            <w:pPr>
              <w:ind w:right="-111" w:hanging="14"/>
              <w:contextualSpacing/>
            </w:pPr>
            <w:r w:rsidRPr="00257F7A">
              <w:t>Race Black</w:t>
            </w:r>
          </w:p>
        </w:tc>
        <w:tc>
          <w:tcPr>
            <w:tcW w:w="900" w:type="dxa"/>
            <w:tcBorders>
              <w:top w:val="nil"/>
              <w:left w:val="nil"/>
              <w:bottom w:val="nil"/>
              <w:right w:val="nil"/>
            </w:tcBorders>
            <w:vAlign w:val="center"/>
          </w:tcPr>
          <w:p w14:paraId="3C04A2ED" w14:textId="77777777" w:rsidR="007E06A6" w:rsidRPr="00257F7A" w:rsidRDefault="007E06A6" w:rsidP="00796E8C">
            <w:pPr>
              <w:tabs>
                <w:tab w:val="decimal" w:pos="44"/>
              </w:tabs>
              <w:ind w:left="-46" w:right="-193" w:firstLine="0"/>
              <w:contextualSpacing/>
            </w:pPr>
            <w:r w:rsidRPr="00257F7A">
              <w:t>-1.</w:t>
            </w:r>
            <w:r>
              <w:t>29</w:t>
            </w:r>
          </w:p>
        </w:tc>
        <w:tc>
          <w:tcPr>
            <w:tcW w:w="810" w:type="dxa"/>
            <w:tcBorders>
              <w:top w:val="nil"/>
              <w:left w:val="nil"/>
              <w:bottom w:val="nil"/>
              <w:right w:val="nil"/>
            </w:tcBorders>
            <w:vAlign w:val="center"/>
          </w:tcPr>
          <w:p w14:paraId="18EB4341" w14:textId="77777777" w:rsidR="007E06A6" w:rsidRPr="00257F7A" w:rsidRDefault="007E06A6" w:rsidP="00796E8C">
            <w:pPr>
              <w:tabs>
                <w:tab w:val="decimal" w:pos="74"/>
              </w:tabs>
              <w:ind w:firstLine="0"/>
              <w:contextualSpacing/>
            </w:pPr>
            <w:r w:rsidRPr="00257F7A">
              <w:t>1.</w:t>
            </w:r>
            <w:r>
              <w:t>64</w:t>
            </w:r>
          </w:p>
        </w:tc>
        <w:tc>
          <w:tcPr>
            <w:tcW w:w="810" w:type="dxa"/>
            <w:tcBorders>
              <w:top w:val="nil"/>
              <w:left w:val="nil"/>
              <w:bottom w:val="nil"/>
              <w:right w:val="nil"/>
            </w:tcBorders>
            <w:vAlign w:val="center"/>
          </w:tcPr>
          <w:p w14:paraId="147FD056" w14:textId="77777777" w:rsidR="007E06A6" w:rsidRPr="00257F7A" w:rsidRDefault="007E06A6" w:rsidP="00796E8C">
            <w:pPr>
              <w:ind w:right="-289" w:firstLine="0"/>
              <w:contextualSpacing/>
            </w:pPr>
            <w:r w:rsidRPr="00257F7A">
              <w:t>-.0</w:t>
            </w:r>
            <w:r>
              <w:t>9</w:t>
            </w:r>
          </w:p>
        </w:tc>
        <w:tc>
          <w:tcPr>
            <w:tcW w:w="450" w:type="dxa"/>
            <w:tcBorders>
              <w:top w:val="nil"/>
              <w:left w:val="nil"/>
              <w:bottom w:val="nil"/>
              <w:right w:val="nil"/>
            </w:tcBorders>
            <w:vAlign w:val="center"/>
          </w:tcPr>
          <w:p w14:paraId="06681DCE" w14:textId="77777777" w:rsidR="007E06A6" w:rsidRPr="00257F7A" w:rsidRDefault="007E06A6" w:rsidP="00796E8C">
            <w:pPr>
              <w:contextualSpacing/>
            </w:pPr>
          </w:p>
        </w:tc>
        <w:tc>
          <w:tcPr>
            <w:tcW w:w="900" w:type="dxa"/>
            <w:tcBorders>
              <w:top w:val="nil"/>
              <w:left w:val="nil"/>
              <w:bottom w:val="nil"/>
              <w:right w:val="nil"/>
            </w:tcBorders>
            <w:vAlign w:val="center"/>
          </w:tcPr>
          <w:p w14:paraId="634C21E7" w14:textId="77777777" w:rsidR="007E06A6" w:rsidRPr="00257F7A" w:rsidRDefault="007E06A6" w:rsidP="00796E8C">
            <w:pPr>
              <w:tabs>
                <w:tab w:val="decimal" w:pos="200"/>
              </w:tabs>
              <w:ind w:left="-192" w:firstLine="386"/>
              <w:contextualSpacing/>
            </w:pPr>
            <w:r w:rsidRPr="00257F7A">
              <w:t>.</w:t>
            </w:r>
            <w:r>
              <w:t>16</w:t>
            </w:r>
          </w:p>
        </w:tc>
        <w:tc>
          <w:tcPr>
            <w:tcW w:w="990" w:type="dxa"/>
            <w:tcBorders>
              <w:top w:val="nil"/>
              <w:left w:val="nil"/>
              <w:bottom w:val="nil"/>
              <w:right w:val="nil"/>
            </w:tcBorders>
            <w:vAlign w:val="center"/>
          </w:tcPr>
          <w:p w14:paraId="7ABD925A" w14:textId="77777777" w:rsidR="007E06A6" w:rsidRPr="00257F7A" w:rsidRDefault="007E06A6" w:rsidP="00796E8C">
            <w:pPr>
              <w:tabs>
                <w:tab w:val="decimal" w:pos="256"/>
              </w:tabs>
              <w:ind w:firstLine="0"/>
              <w:contextualSpacing/>
            </w:pPr>
            <w:r w:rsidRPr="00257F7A">
              <w:t>1.</w:t>
            </w:r>
            <w:r>
              <w:t>51</w:t>
            </w:r>
          </w:p>
        </w:tc>
        <w:tc>
          <w:tcPr>
            <w:tcW w:w="1080" w:type="dxa"/>
            <w:gridSpan w:val="2"/>
            <w:tcBorders>
              <w:top w:val="nil"/>
              <w:left w:val="nil"/>
              <w:bottom w:val="nil"/>
              <w:right w:val="nil"/>
            </w:tcBorders>
            <w:vAlign w:val="center"/>
          </w:tcPr>
          <w:p w14:paraId="55A47510" w14:textId="77777777" w:rsidR="007E06A6" w:rsidRPr="00257F7A" w:rsidRDefault="007E06A6" w:rsidP="00796E8C">
            <w:pPr>
              <w:tabs>
                <w:tab w:val="decimal" w:pos="224"/>
              </w:tabs>
              <w:ind w:left="166" w:right="-244" w:firstLine="0"/>
              <w:contextualSpacing/>
            </w:pPr>
            <w:r w:rsidRPr="00257F7A">
              <w:t>.</w:t>
            </w:r>
            <w:r>
              <w:t>01</w:t>
            </w:r>
          </w:p>
        </w:tc>
        <w:tc>
          <w:tcPr>
            <w:tcW w:w="270" w:type="dxa"/>
            <w:tcBorders>
              <w:top w:val="nil"/>
              <w:left w:val="nil"/>
              <w:bottom w:val="nil"/>
              <w:right w:val="nil"/>
            </w:tcBorders>
            <w:vAlign w:val="center"/>
          </w:tcPr>
          <w:p w14:paraId="212BD615" w14:textId="77777777" w:rsidR="007E06A6" w:rsidRPr="00257F7A" w:rsidRDefault="007E06A6" w:rsidP="00796E8C">
            <w:pPr>
              <w:contextualSpacing/>
            </w:pPr>
          </w:p>
        </w:tc>
        <w:tc>
          <w:tcPr>
            <w:tcW w:w="900" w:type="dxa"/>
            <w:tcBorders>
              <w:top w:val="nil"/>
              <w:left w:val="nil"/>
              <w:bottom w:val="nil"/>
              <w:right w:val="nil"/>
            </w:tcBorders>
            <w:vAlign w:val="center"/>
          </w:tcPr>
          <w:p w14:paraId="29C0B35B" w14:textId="77777777" w:rsidR="007E06A6" w:rsidRPr="00257F7A" w:rsidRDefault="007E06A6" w:rsidP="00796E8C">
            <w:pPr>
              <w:tabs>
                <w:tab w:val="decimal" w:pos="230"/>
              </w:tabs>
              <w:ind w:left="-191" w:firstLine="322"/>
              <w:contextualSpacing/>
            </w:pPr>
            <w:r w:rsidRPr="00257F7A">
              <w:t>.</w:t>
            </w:r>
            <w:r>
              <w:t>15</w:t>
            </w:r>
          </w:p>
        </w:tc>
        <w:tc>
          <w:tcPr>
            <w:tcW w:w="810" w:type="dxa"/>
            <w:tcBorders>
              <w:top w:val="nil"/>
              <w:left w:val="nil"/>
              <w:bottom w:val="nil"/>
              <w:right w:val="nil"/>
            </w:tcBorders>
            <w:vAlign w:val="center"/>
          </w:tcPr>
          <w:p w14:paraId="60AD67B9" w14:textId="77777777" w:rsidR="007E06A6" w:rsidRPr="00257F7A" w:rsidRDefault="007E06A6" w:rsidP="00796E8C">
            <w:pPr>
              <w:ind w:firstLine="0"/>
              <w:contextualSpacing/>
            </w:pPr>
            <w:r w:rsidRPr="00257F7A">
              <w:t>1.4</w:t>
            </w:r>
            <w:r>
              <w:t>9</w:t>
            </w:r>
          </w:p>
        </w:tc>
        <w:tc>
          <w:tcPr>
            <w:tcW w:w="875" w:type="dxa"/>
            <w:tcBorders>
              <w:top w:val="nil"/>
              <w:left w:val="nil"/>
              <w:bottom w:val="nil"/>
              <w:right w:val="nil"/>
            </w:tcBorders>
            <w:vAlign w:val="center"/>
          </w:tcPr>
          <w:p w14:paraId="777110DA" w14:textId="77777777" w:rsidR="007E06A6" w:rsidRPr="00257F7A" w:rsidRDefault="007E06A6" w:rsidP="00796E8C">
            <w:pPr>
              <w:tabs>
                <w:tab w:val="decimal" w:pos="99"/>
              </w:tabs>
              <w:ind w:right="-176" w:firstLine="106"/>
              <w:contextualSpacing/>
            </w:pPr>
            <w:r w:rsidRPr="00257F7A">
              <w:t>.0</w:t>
            </w:r>
            <w:r>
              <w:t>1</w:t>
            </w:r>
          </w:p>
        </w:tc>
      </w:tr>
      <w:tr w:rsidR="007E06A6" w:rsidRPr="00257F7A" w14:paraId="3CFB8341" w14:textId="77777777" w:rsidTr="00796E8C">
        <w:trPr>
          <w:trHeight w:val="461"/>
        </w:trPr>
        <w:tc>
          <w:tcPr>
            <w:tcW w:w="4260" w:type="dxa"/>
            <w:tcBorders>
              <w:top w:val="nil"/>
              <w:left w:val="nil"/>
              <w:bottom w:val="nil"/>
              <w:right w:val="nil"/>
            </w:tcBorders>
            <w:vAlign w:val="center"/>
          </w:tcPr>
          <w:p w14:paraId="6F18B2ED" w14:textId="77777777" w:rsidR="007E06A6" w:rsidRPr="00257F7A" w:rsidRDefault="007E06A6" w:rsidP="00796E8C">
            <w:pPr>
              <w:ind w:right="-111" w:hanging="14"/>
              <w:contextualSpacing/>
            </w:pPr>
            <w:r w:rsidRPr="00257F7A">
              <w:t>Race Hispanic</w:t>
            </w:r>
            <w:r>
              <w:t xml:space="preserve"> </w:t>
            </w:r>
          </w:p>
        </w:tc>
        <w:tc>
          <w:tcPr>
            <w:tcW w:w="900" w:type="dxa"/>
            <w:tcBorders>
              <w:top w:val="nil"/>
              <w:left w:val="nil"/>
              <w:bottom w:val="nil"/>
              <w:right w:val="nil"/>
            </w:tcBorders>
            <w:vAlign w:val="center"/>
          </w:tcPr>
          <w:p w14:paraId="2195149A" w14:textId="77777777" w:rsidR="007E06A6" w:rsidRPr="00257F7A" w:rsidRDefault="007E06A6" w:rsidP="00796E8C">
            <w:pPr>
              <w:tabs>
                <w:tab w:val="decimal" w:pos="-136"/>
                <w:tab w:val="decimal" w:pos="134"/>
              </w:tabs>
              <w:ind w:left="-136" w:right="-193" w:hanging="90"/>
              <w:contextualSpacing/>
            </w:pPr>
            <w:r>
              <w:t xml:space="preserve">   </w:t>
            </w:r>
            <w:r w:rsidRPr="00257F7A">
              <w:t>-1.</w:t>
            </w:r>
            <w:r>
              <w:t>91</w:t>
            </w:r>
          </w:p>
        </w:tc>
        <w:tc>
          <w:tcPr>
            <w:tcW w:w="810" w:type="dxa"/>
            <w:tcBorders>
              <w:top w:val="nil"/>
              <w:left w:val="nil"/>
              <w:bottom w:val="nil"/>
              <w:right w:val="nil"/>
            </w:tcBorders>
            <w:vAlign w:val="center"/>
          </w:tcPr>
          <w:p w14:paraId="6F441E00" w14:textId="77777777" w:rsidR="007E06A6" w:rsidRPr="00257F7A" w:rsidRDefault="007E06A6" w:rsidP="00796E8C">
            <w:pPr>
              <w:tabs>
                <w:tab w:val="decimal" w:pos="74"/>
              </w:tabs>
              <w:ind w:firstLine="0"/>
              <w:contextualSpacing/>
            </w:pPr>
            <w:r w:rsidRPr="00257F7A">
              <w:t>1.5</w:t>
            </w:r>
            <w:r>
              <w:t>7</w:t>
            </w:r>
          </w:p>
        </w:tc>
        <w:tc>
          <w:tcPr>
            <w:tcW w:w="810" w:type="dxa"/>
            <w:tcBorders>
              <w:top w:val="nil"/>
              <w:left w:val="nil"/>
              <w:bottom w:val="nil"/>
              <w:right w:val="nil"/>
            </w:tcBorders>
            <w:vAlign w:val="center"/>
          </w:tcPr>
          <w:p w14:paraId="233FDFD6" w14:textId="77777777" w:rsidR="007E06A6" w:rsidRPr="00257F7A" w:rsidRDefault="007E06A6" w:rsidP="00796E8C">
            <w:pPr>
              <w:ind w:right="-289" w:firstLine="0"/>
              <w:contextualSpacing/>
            </w:pPr>
            <w:r w:rsidRPr="00257F7A">
              <w:t>-.1</w:t>
            </w:r>
            <w:r>
              <w:t>7</w:t>
            </w:r>
          </w:p>
        </w:tc>
        <w:tc>
          <w:tcPr>
            <w:tcW w:w="450" w:type="dxa"/>
            <w:tcBorders>
              <w:top w:val="nil"/>
              <w:left w:val="nil"/>
              <w:bottom w:val="nil"/>
              <w:right w:val="nil"/>
            </w:tcBorders>
            <w:vAlign w:val="center"/>
          </w:tcPr>
          <w:p w14:paraId="647AD5B4" w14:textId="77777777" w:rsidR="007E06A6" w:rsidRPr="00257F7A" w:rsidRDefault="007E06A6" w:rsidP="00796E8C">
            <w:pPr>
              <w:contextualSpacing/>
            </w:pPr>
          </w:p>
        </w:tc>
        <w:tc>
          <w:tcPr>
            <w:tcW w:w="900" w:type="dxa"/>
            <w:tcBorders>
              <w:top w:val="nil"/>
              <w:left w:val="nil"/>
              <w:bottom w:val="nil"/>
              <w:right w:val="nil"/>
            </w:tcBorders>
            <w:vAlign w:val="center"/>
          </w:tcPr>
          <w:p w14:paraId="576546BC" w14:textId="77777777" w:rsidR="007E06A6" w:rsidRPr="00257F7A" w:rsidRDefault="007E06A6" w:rsidP="00796E8C">
            <w:pPr>
              <w:tabs>
                <w:tab w:val="decimal" w:pos="0"/>
              </w:tabs>
              <w:ind w:left="-192" w:firstLine="192"/>
              <w:contextualSpacing/>
            </w:pPr>
            <w:r w:rsidRPr="00257F7A">
              <w:t>-</w:t>
            </w:r>
            <w:r>
              <w:t>1.02</w:t>
            </w:r>
          </w:p>
        </w:tc>
        <w:tc>
          <w:tcPr>
            <w:tcW w:w="990" w:type="dxa"/>
            <w:tcBorders>
              <w:top w:val="nil"/>
              <w:left w:val="nil"/>
              <w:bottom w:val="nil"/>
              <w:right w:val="nil"/>
            </w:tcBorders>
            <w:vAlign w:val="center"/>
          </w:tcPr>
          <w:p w14:paraId="63578D29" w14:textId="77777777" w:rsidR="007E06A6" w:rsidRPr="00257F7A" w:rsidRDefault="007E06A6" w:rsidP="00796E8C">
            <w:pPr>
              <w:tabs>
                <w:tab w:val="decimal" w:pos="256"/>
              </w:tabs>
              <w:ind w:firstLine="0"/>
              <w:contextualSpacing/>
            </w:pPr>
            <w:r w:rsidRPr="00257F7A">
              <w:t>1.</w:t>
            </w:r>
            <w:r>
              <w:t>43</w:t>
            </w:r>
          </w:p>
        </w:tc>
        <w:tc>
          <w:tcPr>
            <w:tcW w:w="1080" w:type="dxa"/>
            <w:gridSpan w:val="2"/>
            <w:tcBorders>
              <w:top w:val="nil"/>
              <w:left w:val="nil"/>
              <w:bottom w:val="nil"/>
              <w:right w:val="nil"/>
            </w:tcBorders>
            <w:vAlign w:val="center"/>
          </w:tcPr>
          <w:p w14:paraId="30CF4931" w14:textId="77777777" w:rsidR="007E06A6" w:rsidRPr="00257F7A" w:rsidRDefault="007E06A6" w:rsidP="00796E8C">
            <w:pPr>
              <w:tabs>
                <w:tab w:val="decimal" w:pos="224"/>
              </w:tabs>
              <w:ind w:left="166" w:right="-244" w:firstLine="11"/>
              <w:contextualSpacing/>
            </w:pPr>
            <w:r w:rsidRPr="00257F7A">
              <w:t>-.0</w:t>
            </w:r>
            <w:r>
              <w:t>9</w:t>
            </w:r>
          </w:p>
        </w:tc>
        <w:tc>
          <w:tcPr>
            <w:tcW w:w="270" w:type="dxa"/>
            <w:tcBorders>
              <w:top w:val="nil"/>
              <w:left w:val="nil"/>
              <w:bottom w:val="nil"/>
              <w:right w:val="nil"/>
            </w:tcBorders>
            <w:vAlign w:val="center"/>
          </w:tcPr>
          <w:p w14:paraId="1B37BAD7" w14:textId="77777777" w:rsidR="007E06A6" w:rsidRPr="00257F7A" w:rsidRDefault="007E06A6" w:rsidP="00796E8C">
            <w:pPr>
              <w:contextualSpacing/>
            </w:pPr>
          </w:p>
        </w:tc>
        <w:tc>
          <w:tcPr>
            <w:tcW w:w="900" w:type="dxa"/>
            <w:tcBorders>
              <w:top w:val="nil"/>
              <w:left w:val="nil"/>
              <w:bottom w:val="nil"/>
              <w:right w:val="nil"/>
            </w:tcBorders>
            <w:vAlign w:val="center"/>
          </w:tcPr>
          <w:p w14:paraId="44077C02" w14:textId="77777777" w:rsidR="007E06A6" w:rsidRPr="00257F7A" w:rsidRDefault="007E06A6" w:rsidP="00796E8C">
            <w:pPr>
              <w:tabs>
                <w:tab w:val="decimal" w:pos="44"/>
              </w:tabs>
              <w:ind w:left="-191" w:firstLine="235"/>
              <w:contextualSpacing/>
            </w:pPr>
            <w:r w:rsidRPr="00257F7A">
              <w:t>-</w:t>
            </w:r>
            <w:r>
              <w:t>1.09</w:t>
            </w:r>
          </w:p>
        </w:tc>
        <w:tc>
          <w:tcPr>
            <w:tcW w:w="810" w:type="dxa"/>
            <w:tcBorders>
              <w:top w:val="nil"/>
              <w:left w:val="nil"/>
              <w:bottom w:val="nil"/>
              <w:right w:val="nil"/>
            </w:tcBorders>
            <w:vAlign w:val="center"/>
          </w:tcPr>
          <w:p w14:paraId="6E2D3184" w14:textId="77777777" w:rsidR="007E06A6" w:rsidRPr="00257F7A" w:rsidRDefault="007E06A6" w:rsidP="00796E8C">
            <w:pPr>
              <w:tabs>
                <w:tab w:val="decimal" w:pos="134"/>
              </w:tabs>
              <w:ind w:firstLine="0"/>
              <w:contextualSpacing/>
            </w:pPr>
            <w:r w:rsidRPr="00257F7A">
              <w:t>1.</w:t>
            </w:r>
            <w:r>
              <w:t>42</w:t>
            </w:r>
          </w:p>
        </w:tc>
        <w:tc>
          <w:tcPr>
            <w:tcW w:w="875" w:type="dxa"/>
            <w:tcBorders>
              <w:top w:val="nil"/>
              <w:left w:val="nil"/>
              <w:bottom w:val="nil"/>
              <w:right w:val="nil"/>
            </w:tcBorders>
            <w:vAlign w:val="center"/>
          </w:tcPr>
          <w:p w14:paraId="56D17828" w14:textId="77777777" w:rsidR="007E06A6" w:rsidRPr="00257F7A" w:rsidRDefault="007E06A6" w:rsidP="00796E8C">
            <w:pPr>
              <w:tabs>
                <w:tab w:val="decimal" w:pos="99"/>
              </w:tabs>
              <w:ind w:right="-176" w:firstLine="0"/>
              <w:contextualSpacing/>
            </w:pPr>
            <w:r>
              <w:t xml:space="preserve"> </w:t>
            </w:r>
            <w:r w:rsidRPr="00257F7A">
              <w:t>-.</w:t>
            </w:r>
            <w:r>
              <w:t>10</w:t>
            </w:r>
          </w:p>
        </w:tc>
      </w:tr>
      <w:tr w:rsidR="007E06A6" w:rsidRPr="00257F7A" w14:paraId="3E8EDD99" w14:textId="77777777" w:rsidTr="00796E8C">
        <w:trPr>
          <w:trHeight w:val="461"/>
        </w:trPr>
        <w:tc>
          <w:tcPr>
            <w:tcW w:w="4260" w:type="dxa"/>
            <w:tcBorders>
              <w:top w:val="nil"/>
              <w:left w:val="nil"/>
              <w:bottom w:val="nil"/>
              <w:right w:val="nil"/>
            </w:tcBorders>
            <w:vAlign w:val="center"/>
          </w:tcPr>
          <w:p w14:paraId="17E71D99" w14:textId="77777777" w:rsidR="007E06A6" w:rsidRPr="00257F7A" w:rsidRDefault="007E06A6" w:rsidP="00796E8C">
            <w:pPr>
              <w:ind w:right="-111" w:firstLine="0"/>
              <w:contextualSpacing/>
            </w:pPr>
            <w:r w:rsidRPr="00257F7A">
              <w:t>Race Asian</w:t>
            </w:r>
          </w:p>
        </w:tc>
        <w:tc>
          <w:tcPr>
            <w:tcW w:w="900" w:type="dxa"/>
            <w:tcBorders>
              <w:top w:val="nil"/>
              <w:left w:val="nil"/>
              <w:bottom w:val="nil"/>
              <w:right w:val="nil"/>
            </w:tcBorders>
            <w:vAlign w:val="center"/>
          </w:tcPr>
          <w:p w14:paraId="186726EA" w14:textId="77777777" w:rsidR="007E06A6" w:rsidRPr="00257F7A" w:rsidRDefault="007E06A6" w:rsidP="00796E8C">
            <w:pPr>
              <w:tabs>
                <w:tab w:val="decimal" w:pos="44"/>
                <w:tab w:val="decimal" w:pos="149"/>
              </w:tabs>
              <w:ind w:left="44" w:right="-193" w:firstLine="0"/>
              <w:contextualSpacing/>
            </w:pPr>
            <w:r w:rsidRPr="00257F7A">
              <w:t>-.1</w:t>
            </w:r>
            <w:r>
              <w:t>5</w:t>
            </w:r>
          </w:p>
        </w:tc>
        <w:tc>
          <w:tcPr>
            <w:tcW w:w="810" w:type="dxa"/>
            <w:tcBorders>
              <w:top w:val="nil"/>
              <w:left w:val="nil"/>
              <w:bottom w:val="nil"/>
              <w:right w:val="nil"/>
            </w:tcBorders>
            <w:vAlign w:val="center"/>
          </w:tcPr>
          <w:p w14:paraId="484C988D" w14:textId="77777777" w:rsidR="007E06A6" w:rsidRPr="00257F7A" w:rsidRDefault="007E06A6" w:rsidP="00796E8C">
            <w:pPr>
              <w:tabs>
                <w:tab w:val="decimal" w:pos="74"/>
              </w:tabs>
              <w:ind w:firstLine="0"/>
              <w:contextualSpacing/>
            </w:pPr>
            <w:r w:rsidRPr="00257F7A">
              <w:t>1.</w:t>
            </w:r>
            <w:r>
              <w:t>62</w:t>
            </w:r>
          </w:p>
        </w:tc>
        <w:tc>
          <w:tcPr>
            <w:tcW w:w="810" w:type="dxa"/>
            <w:tcBorders>
              <w:top w:val="nil"/>
              <w:left w:val="nil"/>
              <w:bottom w:val="nil"/>
              <w:right w:val="nil"/>
            </w:tcBorders>
            <w:vAlign w:val="center"/>
          </w:tcPr>
          <w:p w14:paraId="3D85463E" w14:textId="069D1E84" w:rsidR="007E06A6" w:rsidRPr="00257F7A" w:rsidRDefault="007E06A6" w:rsidP="00796E8C">
            <w:pPr>
              <w:ind w:right="-289" w:firstLine="0"/>
              <w:contextualSpacing/>
            </w:pPr>
            <w:r w:rsidRPr="00257F7A">
              <w:t>-.1</w:t>
            </w:r>
            <w:r>
              <w:t>1</w:t>
            </w:r>
          </w:p>
        </w:tc>
        <w:tc>
          <w:tcPr>
            <w:tcW w:w="450" w:type="dxa"/>
            <w:tcBorders>
              <w:top w:val="nil"/>
              <w:left w:val="nil"/>
              <w:bottom w:val="nil"/>
              <w:right w:val="nil"/>
            </w:tcBorders>
            <w:vAlign w:val="center"/>
          </w:tcPr>
          <w:p w14:paraId="3CE49D61"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29765873" w14:textId="77777777" w:rsidR="007E06A6" w:rsidRPr="00257F7A" w:rsidRDefault="007E06A6" w:rsidP="00796E8C">
            <w:pPr>
              <w:tabs>
                <w:tab w:val="decimal" w:pos="200"/>
              </w:tabs>
              <w:ind w:left="-192" w:firstLine="0"/>
              <w:contextualSpacing/>
            </w:pPr>
            <w:r w:rsidRPr="00257F7A">
              <w:t xml:space="preserve">    -.</w:t>
            </w:r>
            <w:r>
              <w:t>83</w:t>
            </w:r>
          </w:p>
        </w:tc>
        <w:tc>
          <w:tcPr>
            <w:tcW w:w="990" w:type="dxa"/>
            <w:tcBorders>
              <w:top w:val="nil"/>
              <w:left w:val="nil"/>
              <w:bottom w:val="nil"/>
              <w:right w:val="nil"/>
            </w:tcBorders>
            <w:vAlign w:val="center"/>
          </w:tcPr>
          <w:p w14:paraId="3C2BEED2" w14:textId="77777777" w:rsidR="007E06A6" w:rsidRPr="00257F7A" w:rsidRDefault="007E06A6" w:rsidP="00796E8C">
            <w:pPr>
              <w:tabs>
                <w:tab w:val="decimal" w:pos="256"/>
              </w:tabs>
              <w:ind w:firstLine="0"/>
              <w:contextualSpacing/>
            </w:pPr>
            <w:r w:rsidRPr="00257F7A">
              <w:t>1.4</w:t>
            </w:r>
            <w:r>
              <w:t>8</w:t>
            </w:r>
          </w:p>
        </w:tc>
        <w:tc>
          <w:tcPr>
            <w:tcW w:w="1080" w:type="dxa"/>
            <w:gridSpan w:val="2"/>
            <w:tcBorders>
              <w:top w:val="nil"/>
              <w:left w:val="nil"/>
              <w:bottom w:val="nil"/>
              <w:right w:val="nil"/>
            </w:tcBorders>
            <w:vAlign w:val="center"/>
          </w:tcPr>
          <w:p w14:paraId="7C75CD38" w14:textId="77777777" w:rsidR="007E06A6" w:rsidRPr="00257F7A" w:rsidRDefault="007E06A6" w:rsidP="00796E8C">
            <w:pPr>
              <w:tabs>
                <w:tab w:val="decimal" w:pos="96"/>
              </w:tabs>
              <w:ind w:left="166" w:right="-244" w:firstLine="0"/>
              <w:contextualSpacing/>
            </w:pPr>
            <w:r w:rsidRPr="00257F7A">
              <w:t>-.0</w:t>
            </w:r>
            <w:r>
              <w:t>6</w:t>
            </w:r>
          </w:p>
        </w:tc>
        <w:tc>
          <w:tcPr>
            <w:tcW w:w="270" w:type="dxa"/>
            <w:tcBorders>
              <w:top w:val="nil"/>
              <w:left w:val="nil"/>
              <w:bottom w:val="nil"/>
              <w:right w:val="nil"/>
            </w:tcBorders>
            <w:vAlign w:val="center"/>
          </w:tcPr>
          <w:p w14:paraId="4E4EE2DE"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43622C80" w14:textId="77777777" w:rsidR="007E06A6" w:rsidRPr="00257F7A" w:rsidRDefault="007E06A6" w:rsidP="00796E8C">
            <w:pPr>
              <w:tabs>
                <w:tab w:val="decimal" w:pos="230"/>
              </w:tabs>
              <w:ind w:left="-191" w:firstLine="0"/>
              <w:contextualSpacing/>
            </w:pPr>
            <w:r w:rsidRPr="00257F7A">
              <w:t xml:space="preserve"> -.</w:t>
            </w:r>
            <w:r>
              <w:t>88</w:t>
            </w:r>
          </w:p>
        </w:tc>
        <w:tc>
          <w:tcPr>
            <w:tcW w:w="810" w:type="dxa"/>
            <w:tcBorders>
              <w:top w:val="nil"/>
              <w:left w:val="nil"/>
              <w:bottom w:val="nil"/>
              <w:right w:val="nil"/>
            </w:tcBorders>
            <w:vAlign w:val="center"/>
          </w:tcPr>
          <w:p w14:paraId="2851F9C7" w14:textId="77777777" w:rsidR="007E06A6" w:rsidRPr="00257F7A" w:rsidRDefault="007E06A6" w:rsidP="00796E8C">
            <w:pPr>
              <w:ind w:firstLine="0"/>
              <w:contextualSpacing/>
            </w:pPr>
            <w:r w:rsidRPr="00257F7A">
              <w:t>1.4</w:t>
            </w:r>
            <w:r>
              <w:t>6</w:t>
            </w:r>
          </w:p>
        </w:tc>
        <w:tc>
          <w:tcPr>
            <w:tcW w:w="875" w:type="dxa"/>
            <w:tcBorders>
              <w:top w:val="nil"/>
              <w:left w:val="nil"/>
              <w:bottom w:val="nil"/>
              <w:right w:val="nil"/>
            </w:tcBorders>
            <w:vAlign w:val="center"/>
          </w:tcPr>
          <w:p w14:paraId="6BE80183" w14:textId="77777777" w:rsidR="007E06A6" w:rsidRPr="00257F7A" w:rsidRDefault="007E06A6" w:rsidP="00796E8C">
            <w:pPr>
              <w:tabs>
                <w:tab w:val="decimal" w:pos="99"/>
              </w:tabs>
              <w:ind w:right="-176" w:firstLine="0"/>
              <w:contextualSpacing/>
            </w:pPr>
            <w:r w:rsidRPr="00257F7A">
              <w:t xml:space="preserve"> -.0</w:t>
            </w:r>
            <w:r>
              <w:t>6</w:t>
            </w:r>
          </w:p>
        </w:tc>
      </w:tr>
      <w:tr w:rsidR="007E06A6" w:rsidRPr="00257F7A" w14:paraId="5899CF1D" w14:textId="77777777" w:rsidTr="00796E8C">
        <w:trPr>
          <w:trHeight w:val="461"/>
        </w:trPr>
        <w:tc>
          <w:tcPr>
            <w:tcW w:w="4260" w:type="dxa"/>
            <w:tcBorders>
              <w:top w:val="nil"/>
              <w:left w:val="nil"/>
              <w:bottom w:val="nil"/>
              <w:right w:val="nil"/>
            </w:tcBorders>
            <w:vAlign w:val="center"/>
          </w:tcPr>
          <w:p w14:paraId="09D81CB7" w14:textId="77777777" w:rsidR="007E06A6" w:rsidRPr="00257F7A" w:rsidRDefault="007E06A6" w:rsidP="00796E8C">
            <w:pPr>
              <w:ind w:right="-111" w:firstLine="0"/>
              <w:contextualSpacing/>
            </w:pPr>
            <w:r w:rsidRPr="00257F7A">
              <w:t>First Generation</w:t>
            </w:r>
          </w:p>
        </w:tc>
        <w:tc>
          <w:tcPr>
            <w:tcW w:w="900" w:type="dxa"/>
            <w:tcBorders>
              <w:top w:val="nil"/>
              <w:left w:val="nil"/>
              <w:bottom w:val="nil"/>
              <w:right w:val="nil"/>
            </w:tcBorders>
            <w:vAlign w:val="center"/>
          </w:tcPr>
          <w:p w14:paraId="42D23BB2" w14:textId="32EED4DD" w:rsidR="007E06A6" w:rsidRPr="00257F7A" w:rsidRDefault="00B86CDE" w:rsidP="00796E8C">
            <w:pPr>
              <w:tabs>
                <w:tab w:val="decimal" w:pos="0"/>
                <w:tab w:val="decimal" w:pos="44"/>
                <w:tab w:val="decimal" w:pos="149"/>
              </w:tabs>
              <w:ind w:left="-46" w:right="-193" w:firstLine="0"/>
              <w:contextualSpacing/>
            </w:pPr>
            <w:r>
              <w:t xml:space="preserve"> </w:t>
            </w:r>
            <w:r w:rsidR="007E06A6" w:rsidRPr="00257F7A">
              <w:t>1.3</w:t>
            </w:r>
            <w:r w:rsidR="007E06A6">
              <w:t>0</w:t>
            </w:r>
          </w:p>
        </w:tc>
        <w:tc>
          <w:tcPr>
            <w:tcW w:w="810" w:type="dxa"/>
            <w:tcBorders>
              <w:top w:val="nil"/>
              <w:left w:val="nil"/>
              <w:bottom w:val="nil"/>
              <w:right w:val="nil"/>
            </w:tcBorders>
            <w:vAlign w:val="center"/>
          </w:tcPr>
          <w:p w14:paraId="164903BE" w14:textId="77777777" w:rsidR="007E06A6" w:rsidRPr="00257F7A" w:rsidRDefault="007E06A6" w:rsidP="00796E8C">
            <w:pPr>
              <w:tabs>
                <w:tab w:val="decimal" w:pos="74"/>
              </w:tabs>
              <w:ind w:firstLine="0"/>
              <w:contextualSpacing/>
            </w:pPr>
            <w:r w:rsidRPr="00257F7A">
              <w:t>.5</w:t>
            </w:r>
            <w:r>
              <w:t>9</w:t>
            </w:r>
          </w:p>
        </w:tc>
        <w:tc>
          <w:tcPr>
            <w:tcW w:w="810" w:type="dxa"/>
            <w:tcBorders>
              <w:top w:val="nil"/>
              <w:left w:val="nil"/>
              <w:bottom w:val="nil"/>
              <w:right w:val="nil"/>
            </w:tcBorders>
            <w:vAlign w:val="center"/>
          </w:tcPr>
          <w:p w14:paraId="0A214EF8" w14:textId="77777777" w:rsidR="007E06A6" w:rsidRPr="00257F7A" w:rsidRDefault="007E06A6" w:rsidP="00796E8C">
            <w:pPr>
              <w:ind w:right="-289" w:firstLine="0"/>
              <w:contextualSpacing/>
            </w:pPr>
            <w:r w:rsidRPr="00257F7A">
              <w:t xml:space="preserve"> .12*</w:t>
            </w:r>
          </w:p>
        </w:tc>
        <w:tc>
          <w:tcPr>
            <w:tcW w:w="450" w:type="dxa"/>
            <w:tcBorders>
              <w:top w:val="nil"/>
              <w:left w:val="nil"/>
              <w:bottom w:val="nil"/>
              <w:right w:val="nil"/>
            </w:tcBorders>
            <w:vAlign w:val="center"/>
          </w:tcPr>
          <w:p w14:paraId="3ADF2363"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1D5D55A6" w14:textId="4AA59D66" w:rsidR="007E06A6" w:rsidRPr="00257F7A" w:rsidRDefault="007E06A6" w:rsidP="00796E8C">
            <w:pPr>
              <w:tabs>
                <w:tab w:val="decimal" w:pos="200"/>
              </w:tabs>
              <w:ind w:left="-138" w:firstLine="0"/>
              <w:contextualSpacing/>
            </w:pPr>
            <w:r w:rsidRPr="00257F7A">
              <w:t xml:space="preserve"> 1.</w:t>
            </w:r>
            <w:r>
              <w:t>18</w:t>
            </w:r>
          </w:p>
        </w:tc>
        <w:tc>
          <w:tcPr>
            <w:tcW w:w="990" w:type="dxa"/>
            <w:tcBorders>
              <w:top w:val="nil"/>
              <w:left w:val="nil"/>
              <w:bottom w:val="nil"/>
              <w:right w:val="nil"/>
            </w:tcBorders>
            <w:vAlign w:val="center"/>
          </w:tcPr>
          <w:p w14:paraId="20AB7C20" w14:textId="77777777" w:rsidR="007E06A6" w:rsidRPr="00257F7A" w:rsidRDefault="007E06A6" w:rsidP="00796E8C">
            <w:pPr>
              <w:tabs>
                <w:tab w:val="decimal" w:pos="256"/>
              </w:tabs>
              <w:ind w:firstLine="0"/>
              <w:contextualSpacing/>
            </w:pPr>
            <w:r w:rsidRPr="00257F7A">
              <w:t>.5</w:t>
            </w:r>
            <w:r>
              <w:t>4</w:t>
            </w:r>
          </w:p>
        </w:tc>
        <w:tc>
          <w:tcPr>
            <w:tcW w:w="1080" w:type="dxa"/>
            <w:gridSpan w:val="2"/>
            <w:tcBorders>
              <w:top w:val="nil"/>
              <w:left w:val="nil"/>
              <w:bottom w:val="nil"/>
              <w:right w:val="nil"/>
            </w:tcBorders>
            <w:vAlign w:val="center"/>
          </w:tcPr>
          <w:p w14:paraId="6DC5A1A7" w14:textId="77777777" w:rsidR="007E06A6" w:rsidRPr="00257F7A" w:rsidRDefault="007E06A6" w:rsidP="00796E8C">
            <w:pPr>
              <w:tabs>
                <w:tab w:val="decimal" w:pos="224"/>
              </w:tabs>
              <w:ind w:left="166" w:right="-244" w:firstLine="0"/>
              <w:contextualSpacing/>
            </w:pPr>
            <w:r w:rsidRPr="00257F7A">
              <w:t>.1</w:t>
            </w:r>
            <w:r>
              <w:t>0</w:t>
            </w:r>
            <w:r w:rsidRPr="00257F7A">
              <w:t>*</w:t>
            </w:r>
          </w:p>
        </w:tc>
        <w:tc>
          <w:tcPr>
            <w:tcW w:w="270" w:type="dxa"/>
            <w:tcBorders>
              <w:top w:val="nil"/>
              <w:left w:val="nil"/>
              <w:bottom w:val="nil"/>
              <w:right w:val="nil"/>
            </w:tcBorders>
            <w:vAlign w:val="center"/>
          </w:tcPr>
          <w:p w14:paraId="51D76F30"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50D17774" w14:textId="4E942FF0" w:rsidR="007E06A6" w:rsidRPr="00257F7A" w:rsidRDefault="007E06A6" w:rsidP="00796E8C">
            <w:pPr>
              <w:tabs>
                <w:tab w:val="decimal" w:pos="230"/>
              </w:tabs>
              <w:ind w:left="-191" w:firstLine="0"/>
              <w:contextualSpacing/>
            </w:pPr>
            <w:r w:rsidRPr="00257F7A">
              <w:t>1.2</w:t>
            </w:r>
            <w:r>
              <w:t>7</w:t>
            </w:r>
          </w:p>
        </w:tc>
        <w:tc>
          <w:tcPr>
            <w:tcW w:w="810" w:type="dxa"/>
            <w:tcBorders>
              <w:top w:val="nil"/>
              <w:left w:val="nil"/>
              <w:bottom w:val="nil"/>
              <w:right w:val="nil"/>
            </w:tcBorders>
            <w:vAlign w:val="center"/>
          </w:tcPr>
          <w:p w14:paraId="0EE07004" w14:textId="77777777" w:rsidR="007E06A6" w:rsidRPr="00257F7A" w:rsidRDefault="007E06A6" w:rsidP="00796E8C">
            <w:pPr>
              <w:tabs>
                <w:tab w:val="decimal" w:pos="127"/>
              </w:tabs>
              <w:ind w:firstLine="0"/>
              <w:contextualSpacing/>
            </w:pPr>
            <w:r w:rsidRPr="00257F7A">
              <w:t>.5</w:t>
            </w:r>
            <w:r>
              <w:t>4</w:t>
            </w:r>
          </w:p>
        </w:tc>
        <w:tc>
          <w:tcPr>
            <w:tcW w:w="875" w:type="dxa"/>
            <w:tcBorders>
              <w:top w:val="nil"/>
              <w:left w:val="nil"/>
              <w:bottom w:val="nil"/>
              <w:right w:val="nil"/>
            </w:tcBorders>
            <w:vAlign w:val="center"/>
          </w:tcPr>
          <w:p w14:paraId="5335F8E2" w14:textId="77777777" w:rsidR="007E06A6" w:rsidRPr="00257F7A" w:rsidRDefault="007E06A6" w:rsidP="00796E8C">
            <w:pPr>
              <w:tabs>
                <w:tab w:val="decimal" w:pos="99"/>
              </w:tabs>
              <w:ind w:right="-176" w:firstLine="0"/>
              <w:contextualSpacing/>
            </w:pPr>
            <w:r w:rsidRPr="00257F7A">
              <w:t xml:space="preserve">  .11*</w:t>
            </w:r>
          </w:p>
        </w:tc>
      </w:tr>
      <w:tr w:rsidR="007E06A6" w:rsidRPr="00257F7A" w14:paraId="469BBCDC" w14:textId="77777777" w:rsidTr="00796E8C">
        <w:trPr>
          <w:trHeight w:val="461"/>
        </w:trPr>
        <w:tc>
          <w:tcPr>
            <w:tcW w:w="4260" w:type="dxa"/>
            <w:tcBorders>
              <w:top w:val="nil"/>
              <w:left w:val="nil"/>
              <w:bottom w:val="nil"/>
              <w:right w:val="nil"/>
            </w:tcBorders>
            <w:vAlign w:val="center"/>
          </w:tcPr>
          <w:p w14:paraId="1FAB83A6" w14:textId="77777777" w:rsidR="007E06A6" w:rsidRPr="00257F7A" w:rsidRDefault="007E06A6" w:rsidP="00796E8C">
            <w:pPr>
              <w:ind w:right="-262" w:firstLine="0"/>
              <w:contextualSpacing/>
            </w:pPr>
            <w:r w:rsidRPr="00257F7A">
              <w:t>Living Status</w:t>
            </w:r>
          </w:p>
        </w:tc>
        <w:tc>
          <w:tcPr>
            <w:tcW w:w="900" w:type="dxa"/>
            <w:tcBorders>
              <w:top w:val="nil"/>
              <w:left w:val="nil"/>
              <w:bottom w:val="nil"/>
              <w:right w:val="nil"/>
            </w:tcBorders>
            <w:vAlign w:val="center"/>
          </w:tcPr>
          <w:p w14:paraId="11E6314D" w14:textId="77777777" w:rsidR="007E06A6" w:rsidRPr="00257F7A" w:rsidRDefault="007E06A6" w:rsidP="00796E8C">
            <w:pPr>
              <w:tabs>
                <w:tab w:val="decimal" w:pos="44"/>
                <w:tab w:val="decimal" w:pos="134"/>
                <w:tab w:val="decimal" w:pos="164"/>
              </w:tabs>
              <w:ind w:left="44" w:right="-193" w:firstLine="0"/>
              <w:contextualSpacing/>
            </w:pPr>
            <w:r w:rsidRPr="00257F7A">
              <w:t xml:space="preserve"> .</w:t>
            </w:r>
            <w:r>
              <w:t>27</w:t>
            </w:r>
          </w:p>
        </w:tc>
        <w:tc>
          <w:tcPr>
            <w:tcW w:w="810" w:type="dxa"/>
            <w:tcBorders>
              <w:top w:val="nil"/>
              <w:left w:val="nil"/>
              <w:bottom w:val="nil"/>
              <w:right w:val="nil"/>
            </w:tcBorders>
            <w:vAlign w:val="center"/>
          </w:tcPr>
          <w:p w14:paraId="46FE2114" w14:textId="77777777" w:rsidR="007E06A6" w:rsidRPr="00257F7A" w:rsidRDefault="007E06A6" w:rsidP="00796E8C">
            <w:pPr>
              <w:tabs>
                <w:tab w:val="decimal" w:pos="74"/>
              </w:tabs>
              <w:ind w:firstLine="0"/>
              <w:contextualSpacing/>
            </w:pPr>
            <w:r w:rsidRPr="00257F7A">
              <w:t>.6</w:t>
            </w:r>
            <w:r>
              <w:t>2</w:t>
            </w:r>
          </w:p>
        </w:tc>
        <w:tc>
          <w:tcPr>
            <w:tcW w:w="810" w:type="dxa"/>
            <w:tcBorders>
              <w:top w:val="nil"/>
              <w:left w:val="nil"/>
              <w:bottom w:val="nil"/>
              <w:right w:val="nil"/>
            </w:tcBorders>
            <w:vAlign w:val="center"/>
          </w:tcPr>
          <w:p w14:paraId="1E47C865" w14:textId="77777777" w:rsidR="007E06A6" w:rsidRPr="00257F7A" w:rsidRDefault="007E06A6" w:rsidP="00796E8C">
            <w:pPr>
              <w:ind w:right="-289" w:firstLine="0"/>
              <w:contextualSpacing/>
            </w:pPr>
            <w:r w:rsidRPr="00257F7A">
              <w:t xml:space="preserve"> .0</w:t>
            </w:r>
            <w:r>
              <w:t>2</w:t>
            </w:r>
          </w:p>
        </w:tc>
        <w:tc>
          <w:tcPr>
            <w:tcW w:w="450" w:type="dxa"/>
            <w:tcBorders>
              <w:top w:val="nil"/>
              <w:left w:val="nil"/>
              <w:bottom w:val="nil"/>
              <w:right w:val="nil"/>
            </w:tcBorders>
            <w:vAlign w:val="center"/>
          </w:tcPr>
          <w:p w14:paraId="42DF9326"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161CE516" w14:textId="77777777" w:rsidR="007E06A6" w:rsidRPr="00257F7A" w:rsidRDefault="007E06A6" w:rsidP="00796E8C">
            <w:pPr>
              <w:tabs>
                <w:tab w:val="decimal" w:pos="200"/>
              </w:tabs>
              <w:ind w:left="-192" w:firstLine="0"/>
              <w:contextualSpacing/>
            </w:pPr>
            <w:r w:rsidRPr="00257F7A">
              <w:t xml:space="preserve">    .</w:t>
            </w:r>
            <w:r>
              <w:t>56</w:t>
            </w:r>
          </w:p>
        </w:tc>
        <w:tc>
          <w:tcPr>
            <w:tcW w:w="990" w:type="dxa"/>
            <w:tcBorders>
              <w:top w:val="nil"/>
              <w:left w:val="nil"/>
              <w:bottom w:val="nil"/>
              <w:right w:val="nil"/>
            </w:tcBorders>
            <w:vAlign w:val="center"/>
          </w:tcPr>
          <w:p w14:paraId="6D8D2D05" w14:textId="77777777" w:rsidR="007E06A6" w:rsidRPr="00257F7A" w:rsidRDefault="007E06A6" w:rsidP="00796E8C">
            <w:pPr>
              <w:tabs>
                <w:tab w:val="decimal" w:pos="256"/>
              </w:tabs>
              <w:ind w:firstLine="0"/>
              <w:contextualSpacing/>
            </w:pPr>
            <w:r w:rsidRPr="00257F7A">
              <w:t>.5</w:t>
            </w:r>
            <w:r>
              <w:t>7</w:t>
            </w:r>
          </w:p>
        </w:tc>
        <w:tc>
          <w:tcPr>
            <w:tcW w:w="1080" w:type="dxa"/>
            <w:gridSpan w:val="2"/>
            <w:tcBorders>
              <w:top w:val="nil"/>
              <w:left w:val="nil"/>
              <w:bottom w:val="nil"/>
              <w:right w:val="nil"/>
            </w:tcBorders>
            <w:vAlign w:val="center"/>
          </w:tcPr>
          <w:p w14:paraId="5C050337" w14:textId="77777777" w:rsidR="007E06A6" w:rsidRPr="00257F7A" w:rsidRDefault="007E06A6" w:rsidP="00796E8C">
            <w:pPr>
              <w:tabs>
                <w:tab w:val="decimal" w:pos="224"/>
              </w:tabs>
              <w:ind w:left="166" w:right="-244" w:firstLine="0"/>
              <w:contextualSpacing/>
            </w:pPr>
            <w:r w:rsidRPr="00257F7A">
              <w:t>.0</w:t>
            </w:r>
            <w:r>
              <w:t>5</w:t>
            </w:r>
          </w:p>
        </w:tc>
        <w:tc>
          <w:tcPr>
            <w:tcW w:w="270" w:type="dxa"/>
            <w:tcBorders>
              <w:top w:val="nil"/>
              <w:left w:val="nil"/>
              <w:bottom w:val="nil"/>
              <w:right w:val="nil"/>
            </w:tcBorders>
            <w:vAlign w:val="center"/>
          </w:tcPr>
          <w:p w14:paraId="47592C1F"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42FE849E" w14:textId="77777777" w:rsidR="007E06A6" w:rsidRPr="00257F7A" w:rsidRDefault="007E06A6" w:rsidP="00796E8C">
            <w:pPr>
              <w:tabs>
                <w:tab w:val="decimal" w:pos="230"/>
              </w:tabs>
              <w:ind w:left="-191" w:firstLine="0"/>
              <w:contextualSpacing/>
            </w:pPr>
            <w:r w:rsidRPr="00257F7A">
              <w:t xml:space="preserve"> .</w:t>
            </w:r>
            <w:r>
              <w:t>52</w:t>
            </w:r>
          </w:p>
        </w:tc>
        <w:tc>
          <w:tcPr>
            <w:tcW w:w="810" w:type="dxa"/>
            <w:tcBorders>
              <w:top w:val="nil"/>
              <w:left w:val="nil"/>
              <w:bottom w:val="nil"/>
              <w:right w:val="nil"/>
            </w:tcBorders>
            <w:vAlign w:val="center"/>
          </w:tcPr>
          <w:p w14:paraId="393275B2" w14:textId="77777777" w:rsidR="007E06A6" w:rsidRPr="00257F7A" w:rsidRDefault="007E06A6" w:rsidP="00796E8C">
            <w:pPr>
              <w:tabs>
                <w:tab w:val="decimal" w:pos="134"/>
              </w:tabs>
              <w:ind w:firstLine="0"/>
              <w:contextualSpacing/>
            </w:pPr>
            <w:r w:rsidRPr="00257F7A">
              <w:t>.5</w:t>
            </w:r>
            <w:r>
              <w:t>6</w:t>
            </w:r>
          </w:p>
        </w:tc>
        <w:tc>
          <w:tcPr>
            <w:tcW w:w="875" w:type="dxa"/>
            <w:tcBorders>
              <w:top w:val="nil"/>
              <w:left w:val="nil"/>
              <w:bottom w:val="nil"/>
              <w:right w:val="nil"/>
            </w:tcBorders>
            <w:vAlign w:val="center"/>
          </w:tcPr>
          <w:p w14:paraId="5FD9EE67" w14:textId="77777777" w:rsidR="007E06A6" w:rsidRPr="00257F7A" w:rsidRDefault="007E06A6" w:rsidP="00796E8C">
            <w:pPr>
              <w:tabs>
                <w:tab w:val="decimal" w:pos="99"/>
              </w:tabs>
              <w:ind w:right="-176" w:firstLine="0"/>
              <w:contextualSpacing/>
            </w:pPr>
            <w:r w:rsidRPr="00257F7A">
              <w:t xml:space="preserve">  .0</w:t>
            </w:r>
            <w:r>
              <w:t>5</w:t>
            </w:r>
          </w:p>
        </w:tc>
      </w:tr>
      <w:tr w:rsidR="007E06A6" w:rsidRPr="00257F7A" w14:paraId="2A592666" w14:textId="77777777" w:rsidTr="00796E8C">
        <w:trPr>
          <w:trHeight w:val="461"/>
        </w:trPr>
        <w:tc>
          <w:tcPr>
            <w:tcW w:w="4260" w:type="dxa"/>
            <w:tcBorders>
              <w:top w:val="nil"/>
              <w:left w:val="nil"/>
              <w:bottom w:val="nil"/>
              <w:right w:val="nil"/>
            </w:tcBorders>
            <w:vAlign w:val="center"/>
          </w:tcPr>
          <w:p w14:paraId="5FA91CC9" w14:textId="77777777" w:rsidR="007E06A6" w:rsidRPr="00257F7A" w:rsidRDefault="007E06A6" w:rsidP="00796E8C">
            <w:pPr>
              <w:ind w:right="-111" w:firstLine="0"/>
              <w:contextualSpacing/>
            </w:pPr>
            <w:r w:rsidRPr="00257F7A">
              <w:t>Resilience</w:t>
            </w:r>
          </w:p>
        </w:tc>
        <w:tc>
          <w:tcPr>
            <w:tcW w:w="900" w:type="dxa"/>
            <w:tcBorders>
              <w:top w:val="nil"/>
              <w:left w:val="nil"/>
              <w:bottom w:val="nil"/>
              <w:right w:val="nil"/>
            </w:tcBorders>
            <w:vAlign w:val="center"/>
          </w:tcPr>
          <w:p w14:paraId="75C23531" w14:textId="77777777" w:rsidR="007E06A6" w:rsidRPr="00257F7A" w:rsidRDefault="007E06A6" w:rsidP="00796E8C">
            <w:pPr>
              <w:ind w:firstLine="0"/>
              <w:contextualSpacing/>
            </w:pPr>
          </w:p>
        </w:tc>
        <w:tc>
          <w:tcPr>
            <w:tcW w:w="810" w:type="dxa"/>
            <w:tcBorders>
              <w:top w:val="nil"/>
              <w:left w:val="nil"/>
              <w:bottom w:val="nil"/>
              <w:right w:val="nil"/>
            </w:tcBorders>
            <w:vAlign w:val="center"/>
          </w:tcPr>
          <w:p w14:paraId="367F8167" w14:textId="77777777" w:rsidR="007E06A6" w:rsidRPr="00257F7A" w:rsidRDefault="007E06A6" w:rsidP="00796E8C">
            <w:pPr>
              <w:ind w:firstLine="0"/>
              <w:contextualSpacing/>
            </w:pPr>
          </w:p>
        </w:tc>
        <w:tc>
          <w:tcPr>
            <w:tcW w:w="810" w:type="dxa"/>
            <w:tcBorders>
              <w:top w:val="nil"/>
              <w:left w:val="nil"/>
              <w:bottom w:val="nil"/>
              <w:right w:val="nil"/>
            </w:tcBorders>
            <w:vAlign w:val="center"/>
          </w:tcPr>
          <w:p w14:paraId="549415C6" w14:textId="77777777" w:rsidR="007E06A6" w:rsidRPr="00257F7A" w:rsidRDefault="007E06A6" w:rsidP="00796E8C">
            <w:pPr>
              <w:ind w:right="-289" w:firstLine="0"/>
              <w:contextualSpacing/>
            </w:pPr>
          </w:p>
        </w:tc>
        <w:tc>
          <w:tcPr>
            <w:tcW w:w="450" w:type="dxa"/>
            <w:tcBorders>
              <w:top w:val="nil"/>
              <w:left w:val="nil"/>
              <w:bottom w:val="nil"/>
              <w:right w:val="nil"/>
            </w:tcBorders>
            <w:vAlign w:val="center"/>
          </w:tcPr>
          <w:p w14:paraId="50142019"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2F2050C0" w14:textId="77777777" w:rsidR="007E06A6" w:rsidRPr="00257F7A" w:rsidRDefault="007E06A6" w:rsidP="00796E8C">
            <w:pPr>
              <w:tabs>
                <w:tab w:val="decimal" w:pos="200"/>
              </w:tabs>
              <w:ind w:left="-192" w:firstLine="0"/>
              <w:contextualSpacing/>
            </w:pPr>
            <w:r w:rsidRPr="00257F7A">
              <w:t xml:space="preserve"> -</w:t>
            </w:r>
            <w:r>
              <w:t>3.21</w:t>
            </w:r>
          </w:p>
        </w:tc>
        <w:tc>
          <w:tcPr>
            <w:tcW w:w="990" w:type="dxa"/>
            <w:tcBorders>
              <w:top w:val="nil"/>
              <w:left w:val="nil"/>
              <w:bottom w:val="nil"/>
              <w:right w:val="nil"/>
            </w:tcBorders>
            <w:vAlign w:val="center"/>
          </w:tcPr>
          <w:p w14:paraId="05C69E49" w14:textId="77777777" w:rsidR="007E06A6" w:rsidRPr="00257F7A" w:rsidRDefault="007E06A6" w:rsidP="00796E8C">
            <w:pPr>
              <w:tabs>
                <w:tab w:val="decimal" w:pos="256"/>
              </w:tabs>
              <w:ind w:firstLine="0"/>
              <w:contextualSpacing/>
            </w:pPr>
            <w:r w:rsidRPr="00257F7A">
              <w:t>.</w:t>
            </w:r>
            <w:r>
              <w:t>35</w:t>
            </w:r>
          </w:p>
        </w:tc>
        <w:tc>
          <w:tcPr>
            <w:tcW w:w="1080" w:type="dxa"/>
            <w:gridSpan w:val="2"/>
            <w:tcBorders>
              <w:top w:val="nil"/>
              <w:left w:val="nil"/>
              <w:bottom w:val="nil"/>
              <w:right w:val="nil"/>
            </w:tcBorders>
            <w:vAlign w:val="center"/>
          </w:tcPr>
          <w:p w14:paraId="2FB30367" w14:textId="77777777" w:rsidR="007E06A6" w:rsidRPr="00257F7A" w:rsidRDefault="007E06A6" w:rsidP="00796E8C">
            <w:pPr>
              <w:tabs>
                <w:tab w:val="decimal" w:pos="166"/>
              </w:tabs>
              <w:ind w:left="166" w:right="-244" w:firstLine="0"/>
              <w:contextualSpacing/>
            </w:pPr>
            <w:r w:rsidRPr="00257F7A">
              <w:t>-.</w:t>
            </w:r>
            <w:r>
              <w:t>42</w:t>
            </w:r>
            <w:r w:rsidRPr="00257F7A">
              <w:t>***</w:t>
            </w:r>
          </w:p>
        </w:tc>
        <w:tc>
          <w:tcPr>
            <w:tcW w:w="270" w:type="dxa"/>
            <w:tcBorders>
              <w:top w:val="nil"/>
              <w:left w:val="nil"/>
              <w:bottom w:val="nil"/>
              <w:right w:val="nil"/>
            </w:tcBorders>
            <w:vAlign w:val="center"/>
          </w:tcPr>
          <w:p w14:paraId="019658B2"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7FD542B5" w14:textId="77777777" w:rsidR="007E06A6" w:rsidRPr="00257F7A" w:rsidRDefault="007E06A6" w:rsidP="00796E8C">
            <w:pPr>
              <w:tabs>
                <w:tab w:val="decimal" w:pos="230"/>
              </w:tabs>
              <w:ind w:left="-191" w:firstLine="0"/>
              <w:contextualSpacing/>
            </w:pPr>
            <w:r w:rsidRPr="00257F7A">
              <w:t xml:space="preserve"> -</w:t>
            </w:r>
            <w:r>
              <w:t>3</w:t>
            </w:r>
            <w:r w:rsidRPr="00257F7A">
              <w:t>.</w:t>
            </w:r>
            <w:r>
              <w:t>43</w:t>
            </w:r>
          </w:p>
        </w:tc>
        <w:tc>
          <w:tcPr>
            <w:tcW w:w="810" w:type="dxa"/>
            <w:tcBorders>
              <w:top w:val="nil"/>
              <w:left w:val="nil"/>
              <w:bottom w:val="nil"/>
              <w:right w:val="nil"/>
            </w:tcBorders>
            <w:vAlign w:val="center"/>
          </w:tcPr>
          <w:p w14:paraId="336D13BD" w14:textId="77777777" w:rsidR="007E06A6" w:rsidRPr="00257F7A" w:rsidRDefault="007E06A6" w:rsidP="00796E8C">
            <w:pPr>
              <w:tabs>
                <w:tab w:val="decimal" w:pos="134"/>
              </w:tabs>
              <w:ind w:firstLine="0"/>
              <w:contextualSpacing/>
            </w:pPr>
            <w:r w:rsidRPr="00257F7A">
              <w:t>.</w:t>
            </w:r>
            <w:r>
              <w:t>36</w:t>
            </w:r>
          </w:p>
        </w:tc>
        <w:tc>
          <w:tcPr>
            <w:tcW w:w="875" w:type="dxa"/>
            <w:tcBorders>
              <w:top w:val="nil"/>
              <w:left w:val="nil"/>
              <w:bottom w:val="nil"/>
              <w:right w:val="nil"/>
            </w:tcBorders>
            <w:vAlign w:val="center"/>
          </w:tcPr>
          <w:p w14:paraId="7A9B13F2" w14:textId="77777777" w:rsidR="007E06A6" w:rsidRPr="00257F7A" w:rsidRDefault="007E06A6" w:rsidP="00796E8C">
            <w:pPr>
              <w:tabs>
                <w:tab w:val="decimal" w:pos="99"/>
              </w:tabs>
              <w:ind w:right="-176" w:firstLine="0"/>
              <w:contextualSpacing/>
            </w:pPr>
            <w:r w:rsidRPr="00257F7A">
              <w:t>-.</w:t>
            </w:r>
            <w:r>
              <w:t>44</w:t>
            </w:r>
            <w:r w:rsidRPr="00257F7A">
              <w:t>***</w:t>
            </w:r>
          </w:p>
        </w:tc>
      </w:tr>
      <w:tr w:rsidR="007E06A6" w:rsidRPr="00257F7A" w14:paraId="2ED1D830" w14:textId="77777777" w:rsidTr="00796E8C">
        <w:trPr>
          <w:trHeight w:val="461"/>
        </w:trPr>
        <w:tc>
          <w:tcPr>
            <w:tcW w:w="4260" w:type="dxa"/>
            <w:tcBorders>
              <w:top w:val="nil"/>
              <w:left w:val="nil"/>
              <w:bottom w:val="nil"/>
              <w:right w:val="nil"/>
            </w:tcBorders>
            <w:vAlign w:val="center"/>
          </w:tcPr>
          <w:p w14:paraId="3922D7B8" w14:textId="77777777" w:rsidR="007E06A6" w:rsidRPr="00257F7A" w:rsidRDefault="007E06A6" w:rsidP="00796E8C">
            <w:pPr>
              <w:ind w:right="-111" w:firstLine="0"/>
              <w:contextualSpacing/>
            </w:pPr>
            <w:r>
              <w:t xml:space="preserve">Positive </w:t>
            </w:r>
            <w:r w:rsidRPr="00257F7A">
              <w:t>College Experience</w:t>
            </w:r>
            <w:r>
              <w:t>s</w:t>
            </w:r>
          </w:p>
        </w:tc>
        <w:tc>
          <w:tcPr>
            <w:tcW w:w="900" w:type="dxa"/>
            <w:tcBorders>
              <w:top w:val="nil"/>
              <w:left w:val="nil"/>
              <w:bottom w:val="nil"/>
              <w:right w:val="nil"/>
            </w:tcBorders>
            <w:vAlign w:val="center"/>
          </w:tcPr>
          <w:p w14:paraId="08BA7E52" w14:textId="77777777" w:rsidR="007E06A6" w:rsidRPr="00257F7A" w:rsidRDefault="007E06A6" w:rsidP="00796E8C">
            <w:pPr>
              <w:ind w:firstLine="0"/>
              <w:contextualSpacing/>
            </w:pPr>
          </w:p>
        </w:tc>
        <w:tc>
          <w:tcPr>
            <w:tcW w:w="810" w:type="dxa"/>
            <w:tcBorders>
              <w:top w:val="nil"/>
              <w:left w:val="nil"/>
              <w:bottom w:val="nil"/>
              <w:right w:val="nil"/>
            </w:tcBorders>
            <w:vAlign w:val="center"/>
          </w:tcPr>
          <w:p w14:paraId="758CC669" w14:textId="77777777" w:rsidR="007E06A6" w:rsidRPr="00257F7A" w:rsidRDefault="007E06A6" w:rsidP="00796E8C">
            <w:pPr>
              <w:ind w:firstLine="0"/>
              <w:contextualSpacing/>
            </w:pPr>
          </w:p>
        </w:tc>
        <w:tc>
          <w:tcPr>
            <w:tcW w:w="810" w:type="dxa"/>
            <w:tcBorders>
              <w:top w:val="nil"/>
              <w:left w:val="nil"/>
              <w:bottom w:val="nil"/>
              <w:right w:val="nil"/>
            </w:tcBorders>
            <w:vAlign w:val="center"/>
          </w:tcPr>
          <w:p w14:paraId="34A493F2" w14:textId="77777777" w:rsidR="007E06A6" w:rsidRPr="00257F7A" w:rsidRDefault="007E06A6" w:rsidP="00796E8C">
            <w:pPr>
              <w:ind w:right="-289" w:firstLine="0"/>
              <w:contextualSpacing/>
            </w:pPr>
          </w:p>
        </w:tc>
        <w:tc>
          <w:tcPr>
            <w:tcW w:w="450" w:type="dxa"/>
            <w:tcBorders>
              <w:top w:val="nil"/>
              <w:left w:val="nil"/>
              <w:bottom w:val="nil"/>
              <w:right w:val="nil"/>
            </w:tcBorders>
            <w:vAlign w:val="center"/>
          </w:tcPr>
          <w:p w14:paraId="28CC70AD"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460B5472" w14:textId="77777777" w:rsidR="007E06A6" w:rsidRPr="00257F7A" w:rsidRDefault="007E06A6" w:rsidP="00796E8C">
            <w:pPr>
              <w:tabs>
                <w:tab w:val="decimal" w:pos="200"/>
              </w:tabs>
              <w:ind w:left="-192" w:firstLine="0"/>
              <w:contextualSpacing/>
            </w:pPr>
            <w:r w:rsidRPr="00257F7A">
              <w:t xml:space="preserve">   -.0</w:t>
            </w:r>
            <w:r>
              <w:t>6</w:t>
            </w:r>
          </w:p>
        </w:tc>
        <w:tc>
          <w:tcPr>
            <w:tcW w:w="990" w:type="dxa"/>
            <w:tcBorders>
              <w:top w:val="nil"/>
              <w:left w:val="nil"/>
              <w:bottom w:val="nil"/>
              <w:right w:val="nil"/>
            </w:tcBorders>
            <w:vAlign w:val="center"/>
          </w:tcPr>
          <w:p w14:paraId="3BB36AB6" w14:textId="77777777" w:rsidR="007E06A6" w:rsidRPr="00257F7A" w:rsidRDefault="007E06A6" w:rsidP="00796E8C">
            <w:pPr>
              <w:tabs>
                <w:tab w:val="decimal" w:pos="256"/>
              </w:tabs>
              <w:ind w:firstLine="0"/>
              <w:contextualSpacing/>
            </w:pPr>
            <w:r w:rsidRPr="00257F7A">
              <w:t>.07</w:t>
            </w:r>
          </w:p>
        </w:tc>
        <w:tc>
          <w:tcPr>
            <w:tcW w:w="1080" w:type="dxa"/>
            <w:gridSpan w:val="2"/>
            <w:tcBorders>
              <w:top w:val="nil"/>
              <w:left w:val="nil"/>
              <w:bottom w:val="nil"/>
              <w:right w:val="nil"/>
            </w:tcBorders>
            <w:vAlign w:val="center"/>
          </w:tcPr>
          <w:p w14:paraId="6D11A507" w14:textId="77777777" w:rsidR="007E06A6" w:rsidRPr="00257F7A" w:rsidRDefault="007E06A6" w:rsidP="00796E8C">
            <w:pPr>
              <w:tabs>
                <w:tab w:val="decimal" w:pos="96"/>
              </w:tabs>
              <w:ind w:left="166" w:right="-244" w:firstLine="0"/>
              <w:contextualSpacing/>
            </w:pPr>
            <w:r w:rsidRPr="00257F7A">
              <w:t>-.04</w:t>
            </w:r>
          </w:p>
        </w:tc>
        <w:tc>
          <w:tcPr>
            <w:tcW w:w="270" w:type="dxa"/>
            <w:tcBorders>
              <w:top w:val="nil"/>
              <w:left w:val="nil"/>
              <w:bottom w:val="nil"/>
              <w:right w:val="nil"/>
            </w:tcBorders>
            <w:vAlign w:val="center"/>
          </w:tcPr>
          <w:p w14:paraId="58F4E05F" w14:textId="77777777" w:rsidR="007E06A6" w:rsidRPr="00257F7A" w:rsidRDefault="007E06A6" w:rsidP="00796E8C">
            <w:pPr>
              <w:ind w:firstLine="0"/>
              <w:contextualSpacing/>
            </w:pPr>
          </w:p>
        </w:tc>
        <w:tc>
          <w:tcPr>
            <w:tcW w:w="900" w:type="dxa"/>
            <w:tcBorders>
              <w:top w:val="nil"/>
              <w:left w:val="nil"/>
              <w:bottom w:val="nil"/>
              <w:right w:val="nil"/>
            </w:tcBorders>
            <w:vAlign w:val="center"/>
          </w:tcPr>
          <w:p w14:paraId="45508CD4" w14:textId="77777777" w:rsidR="007E06A6" w:rsidRPr="00257F7A" w:rsidRDefault="007E06A6" w:rsidP="00796E8C">
            <w:pPr>
              <w:tabs>
                <w:tab w:val="decimal" w:pos="230"/>
              </w:tabs>
              <w:ind w:left="-191" w:firstLine="0"/>
              <w:contextualSpacing/>
            </w:pPr>
            <w:r w:rsidRPr="00257F7A">
              <w:t>-.04</w:t>
            </w:r>
          </w:p>
        </w:tc>
        <w:tc>
          <w:tcPr>
            <w:tcW w:w="810" w:type="dxa"/>
            <w:tcBorders>
              <w:top w:val="nil"/>
              <w:left w:val="nil"/>
              <w:bottom w:val="nil"/>
              <w:right w:val="nil"/>
            </w:tcBorders>
            <w:vAlign w:val="center"/>
          </w:tcPr>
          <w:p w14:paraId="3E378592" w14:textId="77777777" w:rsidR="007E06A6" w:rsidRPr="00257F7A" w:rsidRDefault="007E06A6" w:rsidP="00796E8C">
            <w:pPr>
              <w:tabs>
                <w:tab w:val="decimal" w:pos="112"/>
              </w:tabs>
              <w:ind w:firstLine="0"/>
              <w:contextualSpacing/>
            </w:pPr>
            <w:r w:rsidRPr="00257F7A">
              <w:t>.07</w:t>
            </w:r>
          </w:p>
        </w:tc>
        <w:tc>
          <w:tcPr>
            <w:tcW w:w="875" w:type="dxa"/>
            <w:tcBorders>
              <w:top w:val="nil"/>
              <w:left w:val="nil"/>
              <w:bottom w:val="nil"/>
              <w:right w:val="nil"/>
            </w:tcBorders>
            <w:vAlign w:val="center"/>
          </w:tcPr>
          <w:p w14:paraId="730C02BC" w14:textId="77777777" w:rsidR="007E06A6" w:rsidRPr="00257F7A" w:rsidRDefault="007E06A6" w:rsidP="00796E8C">
            <w:pPr>
              <w:tabs>
                <w:tab w:val="decimal" w:pos="99"/>
              </w:tabs>
              <w:ind w:right="-176" w:firstLine="0"/>
              <w:contextualSpacing/>
            </w:pPr>
            <w:r w:rsidRPr="00257F7A">
              <w:t>-.0</w:t>
            </w:r>
            <w:r>
              <w:t>2</w:t>
            </w:r>
          </w:p>
        </w:tc>
      </w:tr>
      <w:tr w:rsidR="007E06A6" w:rsidRPr="00257F7A" w14:paraId="5DFFBCE4" w14:textId="77777777" w:rsidTr="00796E8C">
        <w:trPr>
          <w:trHeight w:val="461"/>
        </w:trPr>
        <w:tc>
          <w:tcPr>
            <w:tcW w:w="4260" w:type="dxa"/>
            <w:tcBorders>
              <w:top w:val="nil"/>
              <w:left w:val="nil"/>
              <w:bottom w:val="nil"/>
              <w:right w:val="nil"/>
            </w:tcBorders>
            <w:vAlign w:val="center"/>
          </w:tcPr>
          <w:p w14:paraId="435F86E0" w14:textId="77777777" w:rsidR="007E06A6" w:rsidRPr="00257F7A" w:rsidRDefault="007E06A6" w:rsidP="00796E8C">
            <w:pPr>
              <w:ind w:right="-111" w:firstLine="0"/>
              <w:contextualSpacing/>
            </w:pPr>
            <w:r w:rsidRPr="00257F7A">
              <w:t xml:space="preserve">Resilience x </w:t>
            </w:r>
            <w:r>
              <w:t xml:space="preserve">Positive </w:t>
            </w:r>
            <w:r w:rsidRPr="00257F7A">
              <w:t>Col</w:t>
            </w:r>
            <w:r>
              <w:t>lege Experience</w:t>
            </w:r>
          </w:p>
        </w:tc>
        <w:tc>
          <w:tcPr>
            <w:tcW w:w="2970" w:type="dxa"/>
            <w:gridSpan w:val="4"/>
            <w:tcBorders>
              <w:top w:val="nil"/>
              <w:left w:val="nil"/>
              <w:bottom w:val="nil"/>
              <w:right w:val="nil"/>
            </w:tcBorders>
            <w:vAlign w:val="center"/>
          </w:tcPr>
          <w:p w14:paraId="42C60642" w14:textId="77777777" w:rsidR="007E06A6" w:rsidRPr="00257F7A" w:rsidRDefault="007E06A6" w:rsidP="00796E8C">
            <w:pPr>
              <w:ind w:firstLine="0"/>
              <w:contextualSpacing/>
            </w:pPr>
          </w:p>
        </w:tc>
        <w:tc>
          <w:tcPr>
            <w:tcW w:w="2970" w:type="dxa"/>
            <w:gridSpan w:val="4"/>
            <w:tcBorders>
              <w:top w:val="nil"/>
              <w:left w:val="nil"/>
              <w:bottom w:val="nil"/>
              <w:right w:val="nil"/>
            </w:tcBorders>
            <w:vAlign w:val="center"/>
          </w:tcPr>
          <w:p w14:paraId="41EAE55F" w14:textId="77777777" w:rsidR="007E06A6" w:rsidRPr="00257F7A" w:rsidRDefault="007E06A6" w:rsidP="00796E8C">
            <w:pPr>
              <w:ind w:firstLine="0"/>
              <w:contextualSpacing/>
            </w:pPr>
          </w:p>
        </w:tc>
        <w:tc>
          <w:tcPr>
            <w:tcW w:w="270" w:type="dxa"/>
            <w:tcBorders>
              <w:top w:val="nil"/>
              <w:left w:val="nil"/>
              <w:bottom w:val="nil"/>
              <w:right w:val="nil"/>
            </w:tcBorders>
            <w:vAlign w:val="center"/>
          </w:tcPr>
          <w:p w14:paraId="6B6E4DB8" w14:textId="77777777" w:rsidR="007E06A6" w:rsidRPr="00257F7A" w:rsidRDefault="007E06A6" w:rsidP="00796E8C">
            <w:pPr>
              <w:tabs>
                <w:tab w:val="decimal" w:pos="230"/>
              </w:tabs>
              <w:ind w:left="-191"/>
              <w:contextualSpacing/>
            </w:pPr>
          </w:p>
        </w:tc>
        <w:tc>
          <w:tcPr>
            <w:tcW w:w="900" w:type="dxa"/>
            <w:tcBorders>
              <w:top w:val="nil"/>
              <w:left w:val="nil"/>
              <w:bottom w:val="nil"/>
              <w:right w:val="nil"/>
            </w:tcBorders>
            <w:vAlign w:val="center"/>
          </w:tcPr>
          <w:p w14:paraId="01A86E61" w14:textId="77777777" w:rsidR="007E06A6" w:rsidRPr="00257F7A" w:rsidRDefault="007E06A6" w:rsidP="00796E8C">
            <w:pPr>
              <w:tabs>
                <w:tab w:val="decimal" w:pos="230"/>
              </w:tabs>
              <w:ind w:left="-191" w:firstLine="0"/>
              <w:contextualSpacing/>
            </w:pPr>
            <w:r w:rsidRPr="00257F7A">
              <w:t>-.</w:t>
            </w:r>
            <w:r>
              <w:t>30</w:t>
            </w:r>
          </w:p>
        </w:tc>
        <w:tc>
          <w:tcPr>
            <w:tcW w:w="810" w:type="dxa"/>
            <w:tcBorders>
              <w:top w:val="nil"/>
              <w:left w:val="nil"/>
              <w:bottom w:val="nil"/>
              <w:right w:val="nil"/>
            </w:tcBorders>
            <w:vAlign w:val="center"/>
          </w:tcPr>
          <w:p w14:paraId="359F2D52" w14:textId="77777777" w:rsidR="007E06A6" w:rsidRPr="00257F7A" w:rsidRDefault="007E06A6" w:rsidP="00796E8C">
            <w:pPr>
              <w:tabs>
                <w:tab w:val="decimal" w:pos="134"/>
              </w:tabs>
              <w:ind w:left="-77" w:right="-323" w:firstLine="0"/>
              <w:contextualSpacing/>
            </w:pPr>
            <w:r w:rsidRPr="00257F7A">
              <w:t>.0</w:t>
            </w:r>
            <w:r>
              <w:t>9</w:t>
            </w:r>
          </w:p>
        </w:tc>
        <w:tc>
          <w:tcPr>
            <w:tcW w:w="875" w:type="dxa"/>
            <w:tcBorders>
              <w:top w:val="nil"/>
              <w:left w:val="nil"/>
              <w:bottom w:val="nil"/>
              <w:right w:val="nil"/>
            </w:tcBorders>
            <w:vAlign w:val="center"/>
          </w:tcPr>
          <w:p w14:paraId="369A7177" w14:textId="77777777" w:rsidR="007E06A6" w:rsidRPr="00257F7A" w:rsidRDefault="007E06A6" w:rsidP="00796E8C">
            <w:pPr>
              <w:tabs>
                <w:tab w:val="decimal" w:pos="99"/>
              </w:tabs>
              <w:ind w:right="-176" w:firstLine="0"/>
              <w:contextualSpacing/>
            </w:pPr>
            <w:r w:rsidRPr="00257F7A">
              <w:t>-.14**</w:t>
            </w:r>
          </w:p>
        </w:tc>
      </w:tr>
      <w:tr w:rsidR="007E06A6" w:rsidRPr="00257F7A" w14:paraId="7C2D6AD1" w14:textId="77777777" w:rsidTr="00796E8C">
        <w:trPr>
          <w:trHeight w:val="461"/>
        </w:trPr>
        <w:tc>
          <w:tcPr>
            <w:tcW w:w="4260" w:type="dxa"/>
            <w:tcBorders>
              <w:top w:val="nil"/>
              <w:left w:val="nil"/>
              <w:bottom w:val="nil"/>
              <w:right w:val="nil"/>
            </w:tcBorders>
            <w:vAlign w:val="center"/>
          </w:tcPr>
          <w:p w14:paraId="36FE6ECA" w14:textId="77777777" w:rsidR="007E06A6" w:rsidRPr="00257F7A" w:rsidRDefault="007E06A6" w:rsidP="00796E8C">
            <w:pPr>
              <w:ind w:right="-111" w:firstLine="0"/>
              <w:contextualSpacing/>
            </w:pPr>
            <w:r w:rsidRPr="00257F7A">
              <w:t xml:space="preserve">Model </w:t>
            </w:r>
            <w:r w:rsidRPr="00257F7A">
              <w:rPr>
                <w:i/>
              </w:rPr>
              <w:t>R</w:t>
            </w:r>
            <w:r w:rsidRPr="00257F7A">
              <w:rPr>
                <w:i/>
                <w:vertAlign w:val="superscript"/>
              </w:rPr>
              <w:t>2</w:t>
            </w:r>
          </w:p>
        </w:tc>
        <w:tc>
          <w:tcPr>
            <w:tcW w:w="2520" w:type="dxa"/>
            <w:gridSpan w:val="3"/>
            <w:tcBorders>
              <w:top w:val="nil"/>
              <w:left w:val="nil"/>
              <w:bottom w:val="nil"/>
              <w:right w:val="nil"/>
            </w:tcBorders>
            <w:vAlign w:val="center"/>
          </w:tcPr>
          <w:p w14:paraId="59ED0DCD" w14:textId="77777777" w:rsidR="007E06A6" w:rsidRPr="00257F7A" w:rsidRDefault="007E06A6" w:rsidP="00796E8C">
            <w:pPr>
              <w:tabs>
                <w:tab w:val="decimal" w:pos="1066"/>
              </w:tabs>
              <w:ind w:firstLine="0"/>
              <w:contextualSpacing/>
            </w:pPr>
            <w:r w:rsidRPr="00257F7A">
              <w:t>.03</w:t>
            </w:r>
          </w:p>
        </w:tc>
        <w:tc>
          <w:tcPr>
            <w:tcW w:w="450" w:type="dxa"/>
            <w:tcBorders>
              <w:top w:val="nil"/>
              <w:left w:val="nil"/>
              <w:bottom w:val="nil"/>
              <w:right w:val="nil"/>
            </w:tcBorders>
            <w:vAlign w:val="center"/>
          </w:tcPr>
          <w:p w14:paraId="76376A2E" w14:textId="77777777" w:rsidR="007E06A6" w:rsidRPr="00257F7A" w:rsidRDefault="007E06A6" w:rsidP="00796E8C">
            <w:pPr>
              <w:ind w:firstLine="0"/>
              <w:contextualSpacing/>
            </w:pPr>
          </w:p>
        </w:tc>
        <w:tc>
          <w:tcPr>
            <w:tcW w:w="2700" w:type="dxa"/>
            <w:gridSpan w:val="3"/>
            <w:tcBorders>
              <w:top w:val="nil"/>
              <w:left w:val="nil"/>
              <w:bottom w:val="nil"/>
              <w:right w:val="nil"/>
            </w:tcBorders>
            <w:vAlign w:val="center"/>
          </w:tcPr>
          <w:p w14:paraId="46F15874" w14:textId="77777777" w:rsidR="007E06A6" w:rsidRPr="00257F7A" w:rsidRDefault="007E06A6" w:rsidP="00796E8C">
            <w:pPr>
              <w:tabs>
                <w:tab w:val="decimal" w:pos="1156"/>
              </w:tabs>
              <w:ind w:right="-244" w:firstLine="0"/>
              <w:contextualSpacing/>
            </w:pPr>
            <w:r w:rsidRPr="00257F7A">
              <w:t>.</w:t>
            </w:r>
            <w:r>
              <w:t>19</w:t>
            </w:r>
          </w:p>
        </w:tc>
        <w:tc>
          <w:tcPr>
            <w:tcW w:w="270" w:type="dxa"/>
            <w:tcBorders>
              <w:top w:val="nil"/>
              <w:left w:val="nil"/>
              <w:bottom w:val="nil"/>
              <w:right w:val="nil"/>
            </w:tcBorders>
            <w:vAlign w:val="center"/>
          </w:tcPr>
          <w:p w14:paraId="33DB29CA" w14:textId="77777777" w:rsidR="007E06A6" w:rsidRPr="00257F7A" w:rsidRDefault="007E06A6" w:rsidP="00796E8C">
            <w:pPr>
              <w:ind w:firstLine="0"/>
              <w:contextualSpacing/>
            </w:pPr>
          </w:p>
        </w:tc>
        <w:tc>
          <w:tcPr>
            <w:tcW w:w="2855" w:type="dxa"/>
            <w:gridSpan w:val="4"/>
            <w:tcBorders>
              <w:top w:val="nil"/>
              <w:left w:val="nil"/>
              <w:bottom w:val="nil"/>
              <w:right w:val="nil"/>
            </w:tcBorders>
            <w:vAlign w:val="center"/>
          </w:tcPr>
          <w:p w14:paraId="79DF0771" w14:textId="77777777" w:rsidR="007E06A6" w:rsidRPr="00257F7A" w:rsidRDefault="007E06A6" w:rsidP="00796E8C">
            <w:pPr>
              <w:tabs>
                <w:tab w:val="decimal" w:pos="1304"/>
              </w:tabs>
              <w:ind w:right="-176" w:firstLine="0"/>
              <w:contextualSpacing/>
            </w:pPr>
            <w:r>
              <w:t xml:space="preserve">          </w:t>
            </w:r>
            <w:r w:rsidRPr="00257F7A">
              <w:t>.2</w:t>
            </w:r>
            <w:r>
              <w:t>1</w:t>
            </w:r>
          </w:p>
        </w:tc>
      </w:tr>
      <w:tr w:rsidR="007E06A6" w:rsidRPr="00257F7A" w14:paraId="7F63F801" w14:textId="77777777" w:rsidTr="00796E8C">
        <w:trPr>
          <w:trHeight w:val="461"/>
        </w:trPr>
        <w:tc>
          <w:tcPr>
            <w:tcW w:w="4260" w:type="dxa"/>
            <w:tcBorders>
              <w:top w:val="nil"/>
              <w:left w:val="nil"/>
              <w:bottom w:val="nil"/>
              <w:right w:val="nil"/>
            </w:tcBorders>
            <w:vAlign w:val="center"/>
          </w:tcPr>
          <w:p w14:paraId="7567BC00" w14:textId="77777777" w:rsidR="007E06A6" w:rsidRPr="00257F7A" w:rsidRDefault="007E06A6" w:rsidP="00796E8C">
            <w:pPr>
              <w:ind w:right="-111" w:firstLine="0"/>
              <w:contextualSpacing/>
            </w:pPr>
            <w:r w:rsidRPr="00257F7A">
              <w:t>F for Model</w:t>
            </w:r>
          </w:p>
        </w:tc>
        <w:tc>
          <w:tcPr>
            <w:tcW w:w="2520" w:type="dxa"/>
            <w:gridSpan w:val="3"/>
            <w:tcBorders>
              <w:top w:val="nil"/>
              <w:left w:val="nil"/>
              <w:bottom w:val="nil"/>
              <w:right w:val="nil"/>
            </w:tcBorders>
            <w:vAlign w:val="center"/>
          </w:tcPr>
          <w:p w14:paraId="27A43161" w14:textId="77777777" w:rsidR="007E06A6" w:rsidRPr="00257F7A" w:rsidRDefault="007E06A6" w:rsidP="00796E8C">
            <w:pPr>
              <w:tabs>
                <w:tab w:val="decimal" w:pos="1066"/>
              </w:tabs>
              <w:ind w:firstLine="0"/>
              <w:contextualSpacing/>
            </w:pPr>
            <w:r w:rsidRPr="00257F7A">
              <w:t>1.</w:t>
            </w:r>
            <w:r>
              <w:t>34</w:t>
            </w:r>
          </w:p>
        </w:tc>
        <w:tc>
          <w:tcPr>
            <w:tcW w:w="450" w:type="dxa"/>
            <w:tcBorders>
              <w:top w:val="nil"/>
              <w:left w:val="nil"/>
              <w:bottom w:val="nil"/>
              <w:right w:val="nil"/>
            </w:tcBorders>
            <w:vAlign w:val="center"/>
          </w:tcPr>
          <w:p w14:paraId="610726EF" w14:textId="77777777" w:rsidR="007E06A6" w:rsidRPr="00257F7A" w:rsidRDefault="007E06A6" w:rsidP="00796E8C">
            <w:pPr>
              <w:contextualSpacing/>
            </w:pPr>
          </w:p>
        </w:tc>
        <w:tc>
          <w:tcPr>
            <w:tcW w:w="2700" w:type="dxa"/>
            <w:gridSpan w:val="3"/>
            <w:tcBorders>
              <w:top w:val="nil"/>
              <w:left w:val="nil"/>
              <w:bottom w:val="nil"/>
              <w:right w:val="nil"/>
            </w:tcBorders>
            <w:vAlign w:val="center"/>
          </w:tcPr>
          <w:p w14:paraId="6A6D90B7" w14:textId="77777777" w:rsidR="007E06A6" w:rsidRPr="00257F7A" w:rsidRDefault="007E06A6" w:rsidP="00796E8C">
            <w:pPr>
              <w:tabs>
                <w:tab w:val="decimal" w:pos="1156"/>
              </w:tabs>
              <w:ind w:right="-244" w:firstLine="0"/>
              <w:contextualSpacing/>
            </w:pPr>
            <w:r>
              <w:t>9</w:t>
            </w:r>
            <w:r w:rsidRPr="00257F7A">
              <w:t>.9</w:t>
            </w:r>
            <w:r>
              <w:t>8</w:t>
            </w:r>
            <w:r w:rsidRPr="00257F7A">
              <w:t>***</w:t>
            </w:r>
          </w:p>
        </w:tc>
        <w:tc>
          <w:tcPr>
            <w:tcW w:w="270" w:type="dxa"/>
            <w:tcBorders>
              <w:top w:val="nil"/>
              <w:left w:val="nil"/>
              <w:bottom w:val="nil"/>
              <w:right w:val="nil"/>
            </w:tcBorders>
            <w:vAlign w:val="center"/>
          </w:tcPr>
          <w:p w14:paraId="085599EB" w14:textId="77777777" w:rsidR="007E06A6" w:rsidRPr="00257F7A" w:rsidRDefault="007E06A6" w:rsidP="00796E8C">
            <w:pPr>
              <w:contextualSpacing/>
            </w:pPr>
          </w:p>
        </w:tc>
        <w:tc>
          <w:tcPr>
            <w:tcW w:w="2855" w:type="dxa"/>
            <w:gridSpan w:val="4"/>
            <w:tcBorders>
              <w:top w:val="nil"/>
              <w:left w:val="nil"/>
              <w:bottom w:val="nil"/>
              <w:right w:val="nil"/>
            </w:tcBorders>
            <w:vAlign w:val="center"/>
          </w:tcPr>
          <w:p w14:paraId="56FE9341" w14:textId="77777777" w:rsidR="007E06A6" w:rsidRPr="00257F7A" w:rsidRDefault="007E06A6" w:rsidP="00796E8C">
            <w:pPr>
              <w:tabs>
                <w:tab w:val="decimal" w:pos="1304"/>
              </w:tabs>
              <w:ind w:right="-176" w:firstLine="0"/>
              <w:contextualSpacing/>
            </w:pPr>
            <w:r w:rsidRPr="00257F7A">
              <w:t>1</w:t>
            </w:r>
            <w:r>
              <w:t>0</w:t>
            </w:r>
            <w:r w:rsidRPr="00257F7A">
              <w:t>.</w:t>
            </w:r>
            <w:r>
              <w:t>22</w:t>
            </w:r>
            <w:r w:rsidRPr="00257F7A">
              <w:t>***</w:t>
            </w:r>
          </w:p>
        </w:tc>
      </w:tr>
      <w:tr w:rsidR="007E06A6" w:rsidRPr="00257F7A" w14:paraId="2DAC2B6D" w14:textId="77777777" w:rsidTr="00796E8C">
        <w:trPr>
          <w:trHeight w:val="461"/>
        </w:trPr>
        <w:tc>
          <w:tcPr>
            <w:tcW w:w="4260" w:type="dxa"/>
            <w:tcBorders>
              <w:top w:val="nil"/>
              <w:left w:val="nil"/>
              <w:bottom w:val="nil"/>
              <w:right w:val="nil"/>
            </w:tcBorders>
            <w:vAlign w:val="center"/>
          </w:tcPr>
          <w:p w14:paraId="392E44EF" w14:textId="77777777" w:rsidR="007E06A6" w:rsidRPr="00257F7A" w:rsidRDefault="007E06A6" w:rsidP="00796E8C">
            <w:pPr>
              <w:ind w:right="-111" w:firstLine="0"/>
              <w:contextualSpacing/>
            </w:pPr>
            <w:r w:rsidRPr="00257F7A">
              <w:t xml:space="preserve">∆ </w:t>
            </w:r>
            <w:r w:rsidRPr="00257F7A">
              <w:rPr>
                <w:i/>
              </w:rPr>
              <w:t>R</w:t>
            </w:r>
            <w:r w:rsidRPr="00257F7A">
              <w:rPr>
                <w:i/>
                <w:vertAlign w:val="superscript"/>
              </w:rPr>
              <w:t>2</w:t>
            </w:r>
          </w:p>
        </w:tc>
        <w:tc>
          <w:tcPr>
            <w:tcW w:w="2520" w:type="dxa"/>
            <w:gridSpan w:val="3"/>
            <w:tcBorders>
              <w:top w:val="nil"/>
              <w:left w:val="nil"/>
              <w:bottom w:val="nil"/>
              <w:right w:val="nil"/>
            </w:tcBorders>
          </w:tcPr>
          <w:p w14:paraId="3F17675B" w14:textId="77777777" w:rsidR="007E06A6" w:rsidRPr="00257F7A" w:rsidRDefault="007E06A6" w:rsidP="00796E8C">
            <w:pPr>
              <w:tabs>
                <w:tab w:val="left" w:pos="698"/>
                <w:tab w:val="decimal" w:pos="1066"/>
              </w:tabs>
              <w:ind w:firstLine="0"/>
              <w:contextualSpacing/>
              <w:jc w:val="center"/>
            </w:pPr>
            <w:r w:rsidRPr="00257F7A">
              <w:t>—</w:t>
            </w:r>
          </w:p>
        </w:tc>
        <w:tc>
          <w:tcPr>
            <w:tcW w:w="450" w:type="dxa"/>
            <w:tcBorders>
              <w:top w:val="nil"/>
              <w:left w:val="nil"/>
              <w:bottom w:val="nil"/>
              <w:right w:val="nil"/>
            </w:tcBorders>
            <w:vAlign w:val="center"/>
          </w:tcPr>
          <w:p w14:paraId="7FE4E26D" w14:textId="77777777" w:rsidR="007E06A6" w:rsidRPr="00257F7A" w:rsidRDefault="007E06A6" w:rsidP="00796E8C">
            <w:pPr>
              <w:ind w:firstLine="0"/>
              <w:contextualSpacing/>
            </w:pPr>
          </w:p>
        </w:tc>
        <w:tc>
          <w:tcPr>
            <w:tcW w:w="2700" w:type="dxa"/>
            <w:gridSpan w:val="3"/>
            <w:tcBorders>
              <w:top w:val="nil"/>
              <w:left w:val="nil"/>
              <w:bottom w:val="nil"/>
              <w:right w:val="nil"/>
            </w:tcBorders>
            <w:vAlign w:val="center"/>
          </w:tcPr>
          <w:p w14:paraId="0ACF5DAC" w14:textId="77777777" w:rsidR="007E06A6" w:rsidRPr="00257F7A" w:rsidRDefault="007E06A6" w:rsidP="00796E8C">
            <w:pPr>
              <w:tabs>
                <w:tab w:val="decimal" w:pos="1156"/>
              </w:tabs>
              <w:ind w:right="-244" w:firstLine="0"/>
              <w:contextualSpacing/>
            </w:pPr>
            <w:r w:rsidRPr="00257F7A">
              <w:t>.17***</w:t>
            </w:r>
          </w:p>
        </w:tc>
        <w:tc>
          <w:tcPr>
            <w:tcW w:w="270" w:type="dxa"/>
            <w:tcBorders>
              <w:top w:val="nil"/>
              <w:left w:val="nil"/>
              <w:bottom w:val="nil"/>
              <w:right w:val="nil"/>
            </w:tcBorders>
            <w:vAlign w:val="center"/>
          </w:tcPr>
          <w:p w14:paraId="50493C84" w14:textId="77777777" w:rsidR="007E06A6" w:rsidRPr="00257F7A" w:rsidRDefault="007E06A6" w:rsidP="00796E8C">
            <w:pPr>
              <w:ind w:firstLine="0"/>
              <w:contextualSpacing/>
            </w:pPr>
          </w:p>
        </w:tc>
        <w:tc>
          <w:tcPr>
            <w:tcW w:w="2855" w:type="dxa"/>
            <w:gridSpan w:val="4"/>
            <w:tcBorders>
              <w:top w:val="nil"/>
              <w:left w:val="nil"/>
              <w:bottom w:val="nil"/>
              <w:right w:val="nil"/>
            </w:tcBorders>
            <w:vAlign w:val="center"/>
          </w:tcPr>
          <w:p w14:paraId="24A3742A" w14:textId="77777777" w:rsidR="007E06A6" w:rsidRPr="00257F7A" w:rsidRDefault="007E06A6" w:rsidP="00796E8C">
            <w:pPr>
              <w:tabs>
                <w:tab w:val="decimal" w:pos="1304"/>
              </w:tabs>
              <w:ind w:right="-176" w:firstLine="0"/>
              <w:contextualSpacing/>
            </w:pPr>
            <w:r w:rsidRPr="00257F7A">
              <w:t>.</w:t>
            </w:r>
            <w:r>
              <w:t>02</w:t>
            </w:r>
            <w:r w:rsidRPr="00257F7A">
              <w:t>**</w:t>
            </w:r>
          </w:p>
        </w:tc>
      </w:tr>
      <w:tr w:rsidR="007E06A6" w:rsidRPr="00257F7A" w14:paraId="34E17CE9" w14:textId="77777777" w:rsidTr="00796E8C">
        <w:trPr>
          <w:trHeight w:val="461"/>
        </w:trPr>
        <w:tc>
          <w:tcPr>
            <w:tcW w:w="4260" w:type="dxa"/>
            <w:tcBorders>
              <w:top w:val="nil"/>
              <w:left w:val="nil"/>
              <w:bottom w:val="single" w:sz="4" w:space="0" w:color="auto"/>
              <w:right w:val="nil"/>
            </w:tcBorders>
            <w:vAlign w:val="center"/>
          </w:tcPr>
          <w:p w14:paraId="410AC8F8" w14:textId="77777777" w:rsidR="007E06A6" w:rsidRPr="00257F7A" w:rsidRDefault="007E06A6" w:rsidP="00796E8C">
            <w:pPr>
              <w:ind w:right="-111" w:firstLine="0"/>
              <w:contextualSpacing/>
            </w:pPr>
            <w:r w:rsidRPr="00257F7A">
              <w:rPr>
                <w:i/>
              </w:rPr>
              <w:t>F</w:t>
            </w:r>
            <w:r w:rsidRPr="00257F7A">
              <w:t xml:space="preserve"> for ∆ </w:t>
            </w:r>
            <w:r w:rsidRPr="00257F7A">
              <w:rPr>
                <w:i/>
              </w:rPr>
              <w:t>R</w:t>
            </w:r>
            <w:r w:rsidRPr="00257F7A">
              <w:rPr>
                <w:i/>
                <w:vertAlign w:val="superscript"/>
              </w:rPr>
              <w:t>2</w:t>
            </w:r>
          </w:p>
        </w:tc>
        <w:tc>
          <w:tcPr>
            <w:tcW w:w="2520" w:type="dxa"/>
            <w:gridSpan w:val="3"/>
            <w:tcBorders>
              <w:top w:val="nil"/>
              <w:left w:val="nil"/>
              <w:bottom w:val="single" w:sz="4" w:space="0" w:color="auto"/>
              <w:right w:val="nil"/>
            </w:tcBorders>
            <w:vAlign w:val="center"/>
          </w:tcPr>
          <w:p w14:paraId="55CC99CD" w14:textId="77777777" w:rsidR="007E06A6" w:rsidRPr="00257F7A" w:rsidRDefault="007E06A6" w:rsidP="00796E8C">
            <w:pPr>
              <w:tabs>
                <w:tab w:val="decimal" w:pos="1066"/>
              </w:tabs>
              <w:ind w:firstLine="0"/>
              <w:contextualSpacing/>
            </w:pPr>
          </w:p>
        </w:tc>
        <w:tc>
          <w:tcPr>
            <w:tcW w:w="450" w:type="dxa"/>
            <w:tcBorders>
              <w:top w:val="nil"/>
              <w:left w:val="nil"/>
              <w:bottom w:val="single" w:sz="4" w:space="0" w:color="auto"/>
              <w:right w:val="nil"/>
            </w:tcBorders>
            <w:vAlign w:val="center"/>
          </w:tcPr>
          <w:p w14:paraId="253520CB" w14:textId="77777777" w:rsidR="007E06A6" w:rsidRPr="00257F7A" w:rsidRDefault="007E06A6" w:rsidP="00796E8C">
            <w:pPr>
              <w:ind w:firstLine="0"/>
              <w:contextualSpacing/>
            </w:pPr>
          </w:p>
        </w:tc>
        <w:tc>
          <w:tcPr>
            <w:tcW w:w="2700" w:type="dxa"/>
            <w:gridSpan w:val="3"/>
            <w:tcBorders>
              <w:top w:val="nil"/>
              <w:left w:val="nil"/>
              <w:bottom w:val="single" w:sz="4" w:space="0" w:color="auto"/>
              <w:right w:val="nil"/>
            </w:tcBorders>
            <w:vAlign w:val="center"/>
          </w:tcPr>
          <w:p w14:paraId="0237E4FD" w14:textId="77777777" w:rsidR="007E06A6" w:rsidRPr="00257F7A" w:rsidRDefault="007E06A6" w:rsidP="00796E8C">
            <w:pPr>
              <w:tabs>
                <w:tab w:val="decimal" w:pos="1156"/>
              </w:tabs>
              <w:ind w:right="-244" w:firstLine="0"/>
              <w:contextualSpacing/>
            </w:pPr>
            <w:r w:rsidRPr="00257F7A">
              <w:t>4</w:t>
            </w:r>
            <w:r>
              <w:t>3</w:t>
            </w:r>
            <w:r w:rsidRPr="00257F7A">
              <w:t>.</w:t>
            </w:r>
            <w:r>
              <w:t>45</w:t>
            </w:r>
            <w:r w:rsidRPr="00257F7A">
              <w:t>***</w:t>
            </w:r>
          </w:p>
        </w:tc>
        <w:tc>
          <w:tcPr>
            <w:tcW w:w="270" w:type="dxa"/>
            <w:tcBorders>
              <w:top w:val="nil"/>
              <w:left w:val="nil"/>
              <w:bottom w:val="single" w:sz="4" w:space="0" w:color="auto"/>
              <w:right w:val="nil"/>
            </w:tcBorders>
            <w:vAlign w:val="center"/>
          </w:tcPr>
          <w:p w14:paraId="35587E33" w14:textId="77777777" w:rsidR="007E06A6" w:rsidRPr="00257F7A" w:rsidRDefault="007E06A6" w:rsidP="00796E8C">
            <w:pPr>
              <w:ind w:firstLine="0"/>
              <w:contextualSpacing/>
            </w:pPr>
          </w:p>
        </w:tc>
        <w:tc>
          <w:tcPr>
            <w:tcW w:w="2855" w:type="dxa"/>
            <w:gridSpan w:val="4"/>
            <w:tcBorders>
              <w:top w:val="nil"/>
              <w:left w:val="nil"/>
              <w:bottom w:val="single" w:sz="4" w:space="0" w:color="auto"/>
              <w:right w:val="nil"/>
            </w:tcBorders>
            <w:vAlign w:val="center"/>
          </w:tcPr>
          <w:p w14:paraId="1EEE3E87" w14:textId="77777777" w:rsidR="007E06A6" w:rsidRPr="00257F7A" w:rsidRDefault="007E06A6" w:rsidP="00796E8C">
            <w:pPr>
              <w:tabs>
                <w:tab w:val="decimal" w:pos="1304"/>
              </w:tabs>
              <w:ind w:right="-176" w:firstLine="0"/>
              <w:contextualSpacing/>
            </w:pPr>
            <w:r w:rsidRPr="00257F7A">
              <w:t>10.3</w:t>
            </w:r>
            <w:r>
              <w:t>7</w:t>
            </w:r>
            <w:r w:rsidRPr="00257F7A">
              <w:t>**</w:t>
            </w:r>
          </w:p>
        </w:tc>
      </w:tr>
    </w:tbl>
    <w:p w14:paraId="0A9FAF2C" w14:textId="77777777" w:rsidR="00474FE0" w:rsidRDefault="007E06A6" w:rsidP="007E06A6">
      <w:pPr>
        <w:ind w:firstLine="720"/>
      </w:pPr>
      <w:r w:rsidRPr="00257F7A">
        <w:t>Note.</w:t>
      </w:r>
      <w:r w:rsidR="0005538B">
        <w:t xml:space="preserve"> Coding: sex (0 = male, 1 = female); first generation (</w:t>
      </w:r>
      <w:r w:rsidR="00474FE0">
        <w:t>0 = no, 1 = yes</w:t>
      </w:r>
      <w:r w:rsidR="0005538B">
        <w:t>); living status (</w:t>
      </w:r>
      <w:r w:rsidR="00474FE0">
        <w:t>0 = on campus, 1 = off campus</w:t>
      </w:r>
      <w:r w:rsidR="0005538B">
        <w:t xml:space="preserve">) </w:t>
      </w:r>
      <w:r w:rsidRPr="00257F7A">
        <w:t xml:space="preserve"> </w:t>
      </w:r>
    </w:p>
    <w:p w14:paraId="4981D581" w14:textId="53B2BA3E" w:rsidR="007E06A6" w:rsidRDefault="007E06A6" w:rsidP="007E06A6">
      <w:pPr>
        <w:ind w:firstLine="720"/>
      </w:pPr>
      <w:r w:rsidRPr="00257F7A">
        <w:t>*</w:t>
      </w:r>
      <w:r w:rsidRPr="00257F7A">
        <w:rPr>
          <w:i/>
        </w:rPr>
        <w:t xml:space="preserve"> p</w:t>
      </w:r>
      <w:r w:rsidRPr="00257F7A">
        <w:t xml:space="preserve"> &lt; .05, **</w:t>
      </w:r>
      <w:r w:rsidRPr="00257F7A">
        <w:rPr>
          <w:i/>
        </w:rPr>
        <w:t xml:space="preserve"> p</w:t>
      </w:r>
      <w:r w:rsidRPr="00257F7A">
        <w:t xml:space="preserve"> &lt; .01, ***</w:t>
      </w:r>
      <w:r w:rsidRPr="00257F7A">
        <w:rPr>
          <w:i/>
        </w:rPr>
        <w:t xml:space="preserve"> p</w:t>
      </w:r>
      <w:r w:rsidRPr="00257F7A">
        <w:t xml:space="preserve"> &lt; .001</w:t>
      </w:r>
    </w:p>
    <w:p w14:paraId="38A39EED" w14:textId="77777777" w:rsidR="001B3068" w:rsidRDefault="001B3068" w:rsidP="001B3068">
      <w:pPr>
        <w:spacing w:line="480" w:lineRule="auto"/>
        <w:sectPr w:rsidR="001B3068" w:rsidSect="0076477A">
          <w:pgSz w:w="15840" w:h="12240" w:orient="landscape"/>
          <w:pgMar w:top="720" w:right="720" w:bottom="720" w:left="720" w:header="720" w:footer="720" w:gutter="0"/>
          <w:cols w:space="720"/>
          <w:titlePg/>
          <w:docGrid w:linePitch="360"/>
        </w:sectPr>
      </w:pPr>
    </w:p>
    <w:p w14:paraId="11825791" w14:textId="6B81701D" w:rsidR="00ED58EA" w:rsidRDefault="006D7AB1" w:rsidP="006F5643">
      <w:pPr>
        <w:spacing w:line="480" w:lineRule="auto"/>
        <w:ind w:firstLine="720"/>
      </w:pPr>
      <w:r w:rsidRPr="005843FC">
        <w:lastRenderedPageBreak/>
        <w:t>Post hoc probing of the significant interaction term and a</w:t>
      </w:r>
      <w:r w:rsidR="00E03AFA" w:rsidRPr="005843FC">
        <w:t xml:space="preserve">nalysis of simple slopes </w:t>
      </w:r>
      <w:r w:rsidRPr="005843FC">
        <w:t xml:space="preserve">indicated a significant </w:t>
      </w:r>
      <w:r w:rsidR="009B1131" w:rsidRPr="005843FC">
        <w:t>association</w:t>
      </w:r>
      <w:r w:rsidRPr="005843FC">
        <w:t xml:space="preserve"> between resilience and anxiety</w:t>
      </w:r>
      <w:r w:rsidR="0005538B">
        <w:t xml:space="preserve"> symptoms</w:t>
      </w:r>
      <w:r w:rsidRPr="005843FC">
        <w:t xml:space="preserve"> at high (</w:t>
      </w:r>
      <w:r w:rsidR="00F47BC8" w:rsidRPr="005843FC">
        <w:rPr>
          <w:i/>
        </w:rPr>
        <w:t>β</w:t>
      </w:r>
      <w:r w:rsidRPr="005843FC">
        <w:t xml:space="preserve"> = </w:t>
      </w:r>
      <w:r w:rsidR="00D0324C" w:rsidRPr="005843FC">
        <w:t>-</w:t>
      </w:r>
      <w:r w:rsidR="00361F60" w:rsidRPr="005843FC">
        <w:t>4.</w:t>
      </w:r>
      <w:r w:rsidR="00BF52C1" w:rsidRPr="005843FC">
        <w:t>55</w:t>
      </w:r>
      <w:r w:rsidRPr="005843FC">
        <w:t xml:space="preserve">, </w:t>
      </w:r>
      <w:r w:rsidRPr="00EC1571">
        <w:rPr>
          <w:i/>
          <w:iCs/>
        </w:rPr>
        <w:t>t</w:t>
      </w:r>
      <w:r w:rsidRPr="005843FC">
        <w:t xml:space="preserve"> = </w:t>
      </w:r>
      <w:r w:rsidR="005A28D0" w:rsidRPr="005843FC">
        <w:t>-8.</w:t>
      </w:r>
      <w:r w:rsidR="00BF52C1" w:rsidRPr="005843FC">
        <w:t>37</w:t>
      </w:r>
      <w:r w:rsidRPr="005843FC">
        <w:t xml:space="preserve">, </w:t>
      </w:r>
      <w:r w:rsidRPr="005843FC">
        <w:rPr>
          <w:i/>
          <w:iCs/>
        </w:rPr>
        <w:t>p</w:t>
      </w:r>
      <w:r w:rsidRPr="005843FC">
        <w:t xml:space="preserve"> &lt; .</w:t>
      </w:r>
      <w:r w:rsidR="007977A6" w:rsidRPr="005843FC">
        <w:t>0</w:t>
      </w:r>
      <w:r w:rsidRPr="005843FC">
        <w:t xml:space="preserve">01) </w:t>
      </w:r>
      <w:r w:rsidR="00F96298" w:rsidRPr="005843FC">
        <w:t>and</w:t>
      </w:r>
      <w:r w:rsidR="00E472A6" w:rsidRPr="005843FC">
        <w:t xml:space="preserve"> low </w:t>
      </w:r>
      <w:r w:rsidRPr="005843FC">
        <w:t>(</w:t>
      </w:r>
      <w:r w:rsidR="00F47BC8" w:rsidRPr="005843FC">
        <w:rPr>
          <w:i/>
        </w:rPr>
        <w:t>β</w:t>
      </w:r>
      <w:r w:rsidRPr="005843FC">
        <w:t xml:space="preserve"> = </w:t>
      </w:r>
      <w:r w:rsidR="005A28D0" w:rsidRPr="005843FC">
        <w:t>-</w:t>
      </w:r>
      <w:r w:rsidR="000B3E0E" w:rsidRPr="005843FC">
        <w:t>2</w:t>
      </w:r>
      <w:r w:rsidR="007977A6" w:rsidRPr="005843FC">
        <w:t>.</w:t>
      </w:r>
      <w:r w:rsidR="00BF52C1" w:rsidRPr="005843FC">
        <w:t>32</w:t>
      </w:r>
      <w:r w:rsidRPr="005843FC">
        <w:t xml:space="preserve">, </w:t>
      </w:r>
      <w:r w:rsidRPr="005843FC">
        <w:rPr>
          <w:i/>
          <w:iCs/>
        </w:rPr>
        <w:t>t</w:t>
      </w:r>
      <w:r w:rsidRPr="005843FC">
        <w:t xml:space="preserve"> = </w:t>
      </w:r>
      <w:r w:rsidR="005A28D0" w:rsidRPr="005843FC">
        <w:t>-5.</w:t>
      </w:r>
      <w:r w:rsidR="00BF52C1" w:rsidRPr="005843FC">
        <w:t>21</w:t>
      </w:r>
      <w:r w:rsidRPr="005843FC">
        <w:t xml:space="preserve">, </w:t>
      </w:r>
      <w:r w:rsidRPr="005843FC">
        <w:rPr>
          <w:i/>
          <w:iCs/>
        </w:rPr>
        <w:t xml:space="preserve">p </w:t>
      </w:r>
      <w:r w:rsidR="00E85897" w:rsidRPr="005843FC">
        <w:t>&lt;</w:t>
      </w:r>
      <w:r w:rsidRPr="005843FC">
        <w:t xml:space="preserve"> .0</w:t>
      </w:r>
      <w:r w:rsidR="005A28D0" w:rsidRPr="005843FC">
        <w:t>0</w:t>
      </w:r>
      <w:r w:rsidRPr="005843FC">
        <w:t xml:space="preserve">1) levels of </w:t>
      </w:r>
      <w:r w:rsidR="00A96844" w:rsidRPr="005843FC">
        <w:t xml:space="preserve">positive </w:t>
      </w:r>
      <w:r w:rsidR="008F4928" w:rsidRPr="005843FC">
        <w:t>college experiences</w:t>
      </w:r>
      <w:r w:rsidRPr="005843FC">
        <w:t>.</w:t>
      </w:r>
      <w:r w:rsidRPr="00257F7A">
        <w:t xml:space="preserve"> Plotting the interaction was performed to illustrate the regression of anxiety </w:t>
      </w:r>
      <w:r w:rsidR="0005538B">
        <w:t xml:space="preserve">symptoms </w:t>
      </w:r>
      <w:r w:rsidRPr="00257F7A">
        <w:t xml:space="preserve">on varying levels of resilience and </w:t>
      </w:r>
      <w:r w:rsidR="002B11F4">
        <w:t xml:space="preserve">positive </w:t>
      </w:r>
      <w:r w:rsidR="008F4928" w:rsidRPr="00257F7A">
        <w:t>college experiences</w:t>
      </w:r>
      <w:r w:rsidRPr="00257F7A">
        <w:t xml:space="preserve">. As Figure 1 shows, levels of resilience and </w:t>
      </w:r>
      <w:r w:rsidR="00A96844">
        <w:t xml:space="preserve">positive </w:t>
      </w:r>
      <w:r w:rsidR="008F4928" w:rsidRPr="00257F7A">
        <w:t>college experiences</w:t>
      </w:r>
      <w:r w:rsidRPr="00257F7A">
        <w:t xml:space="preserve"> were approximated at one standard deviation below and one standard deviation above their respective mean scores. The graph illustrates that</w:t>
      </w:r>
      <w:r w:rsidR="00816B19">
        <w:t xml:space="preserve"> </w:t>
      </w:r>
      <w:r w:rsidR="002B11F4">
        <w:t xml:space="preserve">positive </w:t>
      </w:r>
      <w:r w:rsidR="008F4928" w:rsidRPr="00257F7A">
        <w:t>college experiences</w:t>
      </w:r>
      <w:r w:rsidRPr="00257F7A">
        <w:t xml:space="preserve"> moderat</w:t>
      </w:r>
      <w:r w:rsidR="00A33760">
        <w:t>e</w:t>
      </w:r>
      <w:r w:rsidR="002265A6">
        <w:t>d</w:t>
      </w:r>
      <w:r w:rsidRPr="00257F7A">
        <w:t xml:space="preserve"> the </w:t>
      </w:r>
      <w:r w:rsidR="00E472A6" w:rsidRPr="00257F7A">
        <w:t>association</w:t>
      </w:r>
      <w:r w:rsidRPr="00257F7A">
        <w:t xml:space="preserve"> between resilience and anxiety</w:t>
      </w:r>
      <w:r w:rsidR="002265A6">
        <w:t xml:space="preserve"> symptoms</w:t>
      </w:r>
      <w:r w:rsidRPr="00257F7A">
        <w:t xml:space="preserve">, such that the </w:t>
      </w:r>
      <w:r w:rsidR="00ED58EA" w:rsidRPr="00257F7A">
        <w:t xml:space="preserve">inverse </w:t>
      </w:r>
      <w:r w:rsidRPr="00257F7A">
        <w:t xml:space="preserve">association of </w:t>
      </w:r>
      <w:r w:rsidR="00ED58EA" w:rsidRPr="00257F7A">
        <w:t>resilience</w:t>
      </w:r>
      <w:r w:rsidRPr="00257F7A">
        <w:t xml:space="preserve"> </w:t>
      </w:r>
      <w:r w:rsidR="002265A6">
        <w:t>with</w:t>
      </w:r>
      <w:r w:rsidR="002265A6" w:rsidRPr="00257F7A">
        <w:t xml:space="preserve"> </w:t>
      </w:r>
      <w:r w:rsidR="00ED58EA" w:rsidRPr="00257F7A">
        <w:t>anxiety</w:t>
      </w:r>
      <w:r w:rsidR="002265A6">
        <w:t xml:space="preserve"> symptoms</w:t>
      </w:r>
      <w:r w:rsidRPr="00257F7A">
        <w:t xml:space="preserve"> was </w:t>
      </w:r>
      <w:r w:rsidR="000A406D">
        <w:t>stronger</w:t>
      </w:r>
      <w:r w:rsidR="000A406D" w:rsidRPr="00257F7A">
        <w:t xml:space="preserve"> </w:t>
      </w:r>
      <w:r w:rsidRPr="00257F7A">
        <w:t xml:space="preserve">for students reporting higher </w:t>
      </w:r>
      <w:r w:rsidR="006F109D" w:rsidRPr="00257F7A">
        <w:t>scores on</w:t>
      </w:r>
      <w:r w:rsidR="002B11F4">
        <w:t xml:space="preserve"> positive</w:t>
      </w:r>
      <w:r w:rsidR="006F109D" w:rsidRPr="00257F7A">
        <w:t xml:space="preserve"> </w:t>
      </w:r>
      <w:r w:rsidR="008F4928" w:rsidRPr="00257F7A">
        <w:t>college experiences</w:t>
      </w:r>
      <w:r w:rsidRPr="00257F7A">
        <w:t xml:space="preserve">. </w:t>
      </w:r>
    </w:p>
    <w:p w14:paraId="7C4C3120" w14:textId="46A3C1CE" w:rsidR="001B3068" w:rsidRPr="00257F7A" w:rsidRDefault="001B3068" w:rsidP="001B3068">
      <w:pPr>
        <w:spacing w:line="276" w:lineRule="auto"/>
      </w:pPr>
      <w:r>
        <w:t>Figure</w:t>
      </w:r>
      <w:r w:rsidRPr="00257F7A">
        <w:t xml:space="preserve"> 1</w:t>
      </w:r>
    </w:p>
    <w:p w14:paraId="7DF97C26" w14:textId="21030185" w:rsidR="00064B3D" w:rsidRDefault="001B3068" w:rsidP="001B3068">
      <w:pPr>
        <w:spacing w:line="276" w:lineRule="auto"/>
        <w:rPr>
          <w:i/>
          <w:iCs/>
        </w:rPr>
      </w:pPr>
      <w:r w:rsidRPr="004B544C">
        <w:rPr>
          <w:i/>
          <w:iCs/>
        </w:rPr>
        <w:t xml:space="preserve">The Moderating Effect of Positive College Experiences on </w:t>
      </w:r>
      <w:r w:rsidR="00E134DB">
        <w:rPr>
          <w:i/>
          <w:iCs/>
        </w:rPr>
        <w:t xml:space="preserve">the Association Between </w:t>
      </w:r>
      <w:r w:rsidRPr="004B544C">
        <w:rPr>
          <w:i/>
          <w:iCs/>
        </w:rPr>
        <w:t>Resilience and Anxiety</w:t>
      </w:r>
      <w:r w:rsidR="00670A5A">
        <w:rPr>
          <w:i/>
          <w:iCs/>
        </w:rPr>
        <w:t xml:space="preserve"> Symptoms</w:t>
      </w:r>
    </w:p>
    <w:p w14:paraId="3B6B5DBC" w14:textId="29508A18" w:rsidR="00064B3D" w:rsidRPr="00064B3D" w:rsidRDefault="002F72BF" w:rsidP="001B3068">
      <w:pPr>
        <w:spacing w:line="276" w:lineRule="auto"/>
        <w:rPr>
          <w:i/>
          <w:iCs/>
          <w:sz w:val="10"/>
          <w:szCs w:val="10"/>
        </w:rPr>
      </w:pPr>
      <w:r w:rsidRPr="00257F7A">
        <w:rPr>
          <w:noProof/>
        </w:rPr>
        <w:drawing>
          <wp:anchor distT="0" distB="0" distL="114300" distR="114300" simplePos="0" relativeHeight="251660288" behindDoc="0" locked="0" layoutInCell="1" allowOverlap="1" wp14:anchorId="6C8EBCB8" wp14:editId="75248138">
            <wp:simplePos x="0" y="0"/>
            <wp:positionH relativeFrom="column">
              <wp:posOffset>0</wp:posOffset>
            </wp:positionH>
            <wp:positionV relativeFrom="paragraph">
              <wp:posOffset>93980</wp:posOffset>
            </wp:positionV>
            <wp:extent cx="5535930" cy="3886200"/>
            <wp:effectExtent l="0" t="0" r="13970" b="12700"/>
            <wp:wrapSquare wrapText="bothSides"/>
            <wp:docPr id="2" name="Chart 2">
              <a:extLst xmlns:a="http://schemas.openxmlformats.org/drawingml/2006/main">
                <a:ext uri="{FF2B5EF4-FFF2-40B4-BE49-F238E27FC236}">
                  <a16:creationId xmlns:a16="http://schemas.microsoft.com/office/drawing/2014/main" id="{EDFCFCCA-F8E0-47D4-B912-06B0BE334F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24768BE" w14:textId="4D902B26" w:rsidR="00C96F41" w:rsidRPr="00257F7A" w:rsidRDefault="004B544C" w:rsidP="002F72BF">
      <w:pPr>
        <w:spacing w:line="480" w:lineRule="auto"/>
        <w:jc w:val="center"/>
        <w:rPr>
          <w:b/>
          <w:bCs/>
          <w:lang w:val="en-GB"/>
        </w:rPr>
      </w:pPr>
      <w:r>
        <w:rPr>
          <w:b/>
          <w:bCs/>
          <w:lang w:val="en-GB"/>
        </w:rPr>
        <w:lastRenderedPageBreak/>
        <w:t>Discussion</w:t>
      </w:r>
    </w:p>
    <w:p w14:paraId="26362AF6" w14:textId="53CD5645" w:rsidR="00CC2346" w:rsidRDefault="004B69BF" w:rsidP="002F72BF">
      <w:pPr>
        <w:spacing w:line="480" w:lineRule="auto"/>
        <w:ind w:firstLine="720"/>
        <w:rPr>
          <w:lang w:val="en-GB"/>
        </w:rPr>
      </w:pPr>
      <w:r w:rsidRPr="00257F7A">
        <w:rPr>
          <w:lang w:val="en-GB"/>
        </w:rPr>
        <w:t xml:space="preserve">The high prevalence of </w:t>
      </w:r>
      <w:r w:rsidR="009E380D">
        <w:rPr>
          <w:lang w:val="en-GB"/>
        </w:rPr>
        <w:t xml:space="preserve">anxiety </w:t>
      </w:r>
      <w:r w:rsidRPr="00257F7A">
        <w:rPr>
          <w:lang w:val="en-GB"/>
        </w:rPr>
        <w:t xml:space="preserve">among college students </w:t>
      </w:r>
      <w:r w:rsidR="00B44B4C" w:rsidRPr="00257F7A">
        <w:rPr>
          <w:lang w:val="en-GB"/>
        </w:rPr>
        <w:t>underscores</w:t>
      </w:r>
      <w:r w:rsidRPr="00257F7A">
        <w:rPr>
          <w:lang w:val="en-GB"/>
        </w:rPr>
        <w:t xml:space="preserve"> the need </w:t>
      </w:r>
      <w:r w:rsidR="00036EBF">
        <w:rPr>
          <w:lang w:val="en-GB"/>
        </w:rPr>
        <w:t>to</w:t>
      </w:r>
      <w:r w:rsidRPr="00257F7A">
        <w:rPr>
          <w:lang w:val="en-GB"/>
        </w:rPr>
        <w:t xml:space="preserve"> </w:t>
      </w:r>
      <w:r w:rsidR="00036EBF">
        <w:rPr>
          <w:lang w:val="en-GB"/>
        </w:rPr>
        <w:t>provide</w:t>
      </w:r>
      <w:r w:rsidRPr="00257F7A">
        <w:rPr>
          <w:lang w:val="en-GB"/>
        </w:rPr>
        <w:t xml:space="preserve"> </w:t>
      </w:r>
      <w:r w:rsidR="009628A1" w:rsidRPr="00257F7A">
        <w:rPr>
          <w:lang w:val="en-GB"/>
        </w:rPr>
        <w:t>institutional</w:t>
      </w:r>
      <w:r w:rsidRPr="00257F7A">
        <w:rPr>
          <w:lang w:val="en-GB"/>
        </w:rPr>
        <w:t xml:space="preserve"> support and resources </w:t>
      </w:r>
      <w:r w:rsidR="0035724A">
        <w:rPr>
          <w:lang w:val="en-GB"/>
        </w:rPr>
        <w:t xml:space="preserve">to </w:t>
      </w:r>
      <w:r w:rsidR="004D269D">
        <w:rPr>
          <w:lang w:val="en-GB"/>
        </w:rPr>
        <w:t xml:space="preserve">better </w:t>
      </w:r>
      <w:r w:rsidR="0035724A">
        <w:rPr>
          <w:lang w:val="en-GB"/>
        </w:rPr>
        <w:t>facilitate adapt</w:t>
      </w:r>
      <w:r w:rsidR="008968F3">
        <w:rPr>
          <w:lang w:val="en-GB"/>
        </w:rPr>
        <w:t>at</w:t>
      </w:r>
      <w:r w:rsidR="0035724A">
        <w:rPr>
          <w:lang w:val="en-GB"/>
        </w:rPr>
        <w:t xml:space="preserve">ion to </w:t>
      </w:r>
      <w:r w:rsidR="004C1416">
        <w:rPr>
          <w:lang w:val="en-GB"/>
        </w:rPr>
        <w:t xml:space="preserve">the challenges </w:t>
      </w:r>
      <w:r w:rsidR="009B4997">
        <w:rPr>
          <w:lang w:val="en-GB"/>
        </w:rPr>
        <w:t xml:space="preserve">and opportunities </w:t>
      </w:r>
      <w:r w:rsidR="004C1416">
        <w:rPr>
          <w:lang w:val="en-GB"/>
        </w:rPr>
        <w:t xml:space="preserve">of </w:t>
      </w:r>
      <w:r w:rsidR="00E311A1" w:rsidRPr="00257F7A">
        <w:rPr>
          <w:lang w:val="en-GB"/>
        </w:rPr>
        <w:t xml:space="preserve">college </w:t>
      </w:r>
      <w:r w:rsidR="00BD53A3">
        <w:rPr>
          <w:lang w:val="en-GB"/>
        </w:rPr>
        <w:t>life</w:t>
      </w:r>
      <w:r w:rsidR="00BD53A3" w:rsidRPr="00257F7A">
        <w:rPr>
          <w:lang w:val="en-GB"/>
        </w:rPr>
        <w:t xml:space="preserve"> </w:t>
      </w:r>
      <w:r w:rsidR="00E311A1" w:rsidRPr="00257F7A">
        <w:rPr>
          <w:lang w:val="en-GB"/>
        </w:rPr>
        <w:t>(</w:t>
      </w:r>
      <w:proofErr w:type="spellStart"/>
      <w:r w:rsidR="007E62A0" w:rsidRPr="00257F7A">
        <w:t>Beiter</w:t>
      </w:r>
      <w:proofErr w:type="spellEnd"/>
      <w:r w:rsidR="007E62A0" w:rsidRPr="00257F7A">
        <w:t xml:space="preserve"> et al., 2015</w:t>
      </w:r>
      <w:r w:rsidR="00D1626A" w:rsidRPr="00257F7A">
        <w:t>)</w:t>
      </w:r>
      <w:r w:rsidR="00E311A1" w:rsidRPr="00257F7A">
        <w:rPr>
          <w:lang w:val="en-GB"/>
        </w:rPr>
        <w:t xml:space="preserve">. </w:t>
      </w:r>
      <w:r w:rsidR="00A05475">
        <w:rPr>
          <w:lang w:val="en-GB"/>
        </w:rPr>
        <w:t xml:space="preserve">This </w:t>
      </w:r>
      <w:r w:rsidR="00020159">
        <w:rPr>
          <w:lang w:val="en-GB"/>
        </w:rPr>
        <w:t>need</w:t>
      </w:r>
      <w:r w:rsidR="00F96924">
        <w:rPr>
          <w:lang w:val="en-GB"/>
        </w:rPr>
        <w:t xml:space="preserve"> </w:t>
      </w:r>
      <w:r w:rsidR="00A05475">
        <w:rPr>
          <w:lang w:val="en-GB"/>
        </w:rPr>
        <w:t xml:space="preserve">is </w:t>
      </w:r>
      <w:r w:rsidR="00FA20C0">
        <w:rPr>
          <w:lang w:val="en-GB"/>
        </w:rPr>
        <w:t>particularly</w:t>
      </w:r>
      <w:r w:rsidR="00A05475">
        <w:rPr>
          <w:lang w:val="en-GB"/>
        </w:rPr>
        <w:t xml:space="preserve"> </w:t>
      </w:r>
      <w:r w:rsidR="00650B61">
        <w:rPr>
          <w:lang w:val="en-GB"/>
        </w:rPr>
        <w:t>important</w:t>
      </w:r>
      <w:r w:rsidR="00A05475">
        <w:rPr>
          <w:lang w:val="en-GB"/>
        </w:rPr>
        <w:t xml:space="preserve"> for u</w:t>
      </w:r>
      <w:r w:rsidR="001D4D41" w:rsidRPr="00257F7A">
        <w:rPr>
          <w:lang w:val="en-GB"/>
        </w:rPr>
        <w:t>nderrepresented college students</w:t>
      </w:r>
      <w:r w:rsidR="00A05475">
        <w:rPr>
          <w:lang w:val="en-GB"/>
        </w:rPr>
        <w:t xml:space="preserve"> as they</w:t>
      </w:r>
      <w:r w:rsidR="001D4D41" w:rsidRPr="00257F7A">
        <w:rPr>
          <w:lang w:val="en-GB"/>
        </w:rPr>
        <w:t xml:space="preserve"> are </w:t>
      </w:r>
      <w:r w:rsidR="00F96924">
        <w:rPr>
          <w:lang w:val="en-GB"/>
        </w:rPr>
        <w:t>uniquely</w:t>
      </w:r>
      <w:r w:rsidR="001D4D41" w:rsidRPr="00257F7A">
        <w:rPr>
          <w:lang w:val="en-GB"/>
        </w:rPr>
        <w:t xml:space="preserve"> vulnerable </w:t>
      </w:r>
      <w:r w:rsidR="00540E35">
        <w:rPr>
          <w:lang w:val="en-GB"/>
        </w:rPr>
        <w:t>to</w:t>
      </w:r>
      <w:r w:rsidR="00540E35" w:rsidRPr="00257F7A">
        <w:rPr>
          <w:lang w:val="en-GB"/>
        </w:rPr>
        <w:t xml:space="preserve"> </w:t>
      </w:r>
      <w:r w:rsidR="001D4D41" w:rsidRPr="00257F7A">
        <w:rPr>
          <w:lang w:val="en-GB"/>
        </w:rPr>
        <w:t>mental health</w:t>
      </w:r>
      <w:r w:rsidR="003F1DAC" w:rsidRPr="00257F7A">
        <w:rPr>
          <w:lang w:val="en-GB"/>
        </w:rPr>
        <w:t xml:space="preserve"> concerns</w:t>
      </w:r>
      <w:r w:rsidR="00A05475">
        <w:rPr>
          <w:lang w:val="en-GB"/>
        </w:rPr>
        <w:t xml:space="preserve"> </w:t>
      </w:r>
      <w:r w:rsidR="00A05475" w:rsidRPr="00257F7A">
        <w:rPr>
          <w:lang w:val="en-GB"/>
        </w:rPr>
        <w:t>(</w:t>
      </w:r>
      <w:r w:rsidR="00A05475" w:rsidRPr="00257F7A">
        <w:t xml:space="preserve">Garriott &amp; </w:t>
      </w:r>
      <w:proofErr w:type="spellStart"/>
      <w:r w:rsidR="00A05475" w:rsidRPr="00257F7A">
        <w:t>Nisle</w:t>
      </w:r>
      <w:proofErr w:type="spellEnd"/>
      <w:r w:rsidR="00A05475" w:rsidRPr="00257F7A">
        <w:t>, 2018; McClain et al., 2016)</w:t>
      </w:r>
      <w:r w:rsidR="009E380D">
        <w:rPr>
          <w:lang w:val="en-GB"/>
        </w:rPr>
        <w:t xml:space="preserve"> a</w:t>
      </w:r>
      <w:r w:rsidR="00A05475">
        <w:rPr>
          <w:lang w:val="en-GB"/>
        </w:rPr>
        <w:t>nd less likely to use campus mental health services (ACHA, 2022).</w:t>
      </w:r>
      <w:r w:rsidR="001D4D41" w:rsidRPr="00257F7A">
        <w:rPr>
          <w:lang w:val="en-GB"/>
        </w:rPr>
        <w:t xml:space="preserve"> </w:t>
      </w:r>
      <w:r w:rsidR="00BD53A3">
        <w:rPr>
          <w:lang w:val="en-GB"/>
        </w:rPr>
        <w:t>T</w:t>
      </w:r>
      <w:r w:rsidR="00DD1782" w:rsidRPr="00257F7A">
        <w:rPr>
          <w:lang w:val="en-GB"/>
        </w:rPr>
        <w:t>h</w:t>
      </w:r>
      <w:r w:rsidR="00D61112" w:rsidRPr="00257F7A">
        <w:rPr>
          <w:lang w:val="en-GB"/>
        </w:rPr>
        <w:t>e</w:t>
      </w:r>
      <w:r w:rsidR="00280CFD">
        <w:rPr>
          <w:lang w:val="en-GB"/>
        </w:rPr>
        <w:t xml:space="preserve"> </w:t>
      </w:r>
      <w:r w:rsidR="00526A4C" w:rsidRPr="00257F7A">
        <w:rPr>
          <w:lang w:val="en-GB"/>
        </w:rPr>
        <w:t xml:space="preserve">present </w:t>
      </w:r>
      <w:r w:rsidR="00D61112" w:rsidRPr="00257F7A">
        <w:rPr>
          <w:lang w:val="en-GB"/>
        </w:rPr>
        <w:t xml:space="preserve">study </w:t>
      </w:r>
      <w:r w:rsidR="006B44B4">
        <w:rPr>
          <w:lang w:val="en-GB"/>
        </w:rPr>
        <w:t>found</w:t>
      </w:r>
      <w:r w:rsidR="00A33760">
        <w:rPr>
          <w:lang w:val="en-GB"/>
        </w:rPr>
        <w:t xml:space="preserve"> that </w:t>
      </w:r>
      <w:r w:rsidR="00A05475">
        <w:rPr>
          <w:lang w:val="en-GB"/>
        </w:rPr>
        <w:t xml:space="preserve">underrepresented </w:t>
      </w:r>
      <w:r w:rsidR="00A33760">
        <w:rPr>
          <w:lang w:val="en-GB"/>
        </w:rPr>
        <w:t xml:space="preserve">students </w:t>
      </w:r>
      <w:r w:rsidR="00D40067">
        <w:rPr>
          <w:lang w:val="en-GB"/>
        </w:rPr>
        <w:t>with</w:t>
      </w:r>
      <w:r w:rsidR="00280CFD">
        <w:rPr>
          <w:lang w:val="en-GB"/>
        </w:rPr>
        <w:t xml:space="preserve"> </w:t>
      </w:r>
      <w:r w:rsidR="00D90194">
        <w:rPr>
          <w:lang w:val="en-GB"/>
        </w:rPr>
        <w:t>higher</w:t>
      </w:r>
      <w:r w:rsidR="00526A4C" w:rsidRPr="00257F7A">
        <w:rPr>
          <w:lang w:val="en-GB"/>
        </w:rPr>
        <w:t xml:space="preserve"> resilience had </w:t>
      </w:r>
      <w:r w:rsidR="00D40067">
        <w:rPr>
          <w:lang w:val="en-GB"/>
        </w:rPr>
        <w:t xml:space="preserve">fewer </w:t>
      </w:r>
      <w:r w:rsidR="00526A4C" w:rsidRPr="00257F7A">
        <w:rPr>
          <w:lang w:val="en-GB"/>
        </w:rPr>
        <w:t>anxiety</w:t>
      </w:r>
      <w:r w:rsidR="006B44B4">
        <w:rPr>
          <w:lang w:val="en-GB"/>
        </w:rPr>
        <w:t xml:space="preserve"> </w:t>
      </w:r>
      <w:r w:rsidR="00D90194">
        <w:rPr>
          <w:lang w:val="en-GB"/>
        </w:rPr>
        <w:t xml:space="preserve">symptoms </w:t>
      </w:r>
      <w:r w:rsidR="006B44B4">
        <w:rPr>
          <w:lang w:val="en-GB"/>
        </w:rPr>
        <w:t xml:space="preserve">and </w:t>
      </w:r>
      <w:r w:rsidR="000D2488">
        <w:rPr>
          <w:lang w:val="en-GB"/>
        </w:rPr>
        <w:t xml:space="preserve">that </w:t>
      </w:r>
      <w:r w:rsidR="00D40067">
        <w:rPr>
          <w:lang w:val="en-GB"/>
        </w:rPr>
        <w:t>this</w:t>
      </w:r>
      <w:r w:rsidR="007E62A0" w:rsidRPr="00257F7A">
        <w:rPr>
          <w:lang w:val="en-GB"/>
        </w:rPr>
        <w:t xml:space="preserve"> association was </w:t>
      </w:r>
      <w:r w:rsidR="00CB50EE">
        <w:rPr>
          <w:lang w:val="en-GB"/>
        </w:rPr>
        <w:t>moderated</w:t>
      </w:r>
      <w:r w:rsidR="00CB50EE" w:rsidRPr="00257F7A">
        <w:rPr>
          <w:lang w:val="en-GB"/>
        </w:rPr>
        <w:t xml:space="preserve"> </w:t>
      </w:r>
      <w:r w:rsidR="007E62A0" w:rsidRPr="00257F7A">
        <w:rPr>
          <w:lang w:val="en-GB"/>
        </w:rPr>
        <w:t xml:space="preserve">by </w:t>
      </w:r>
      <w:r w:rsidR="00D40067">
        <w:rPr>
          <w:lang w:val="en-GB"/>
        </w:rPr>
        <w:t xml:space="preserve">Gallup’s </w:t>
      </w:r>
      <w:r w:rsidR="00D25A53">
        <w:rPr>
          <w:lang w:val="en-GB"/>
        </w:rPr>
        <w:t>“</w:t>
      </w:r>
      <w:r w:rsidR="00D40067">
        <w:rPr>
          <w:lang w:val="en-GB"/>
        </w:rPr>
        <w:t>Big Six</w:t>
      </w:r>
      <w:r w:rsidR="00D25A53">
        <w:rPr>
          <w:lang w:val="en-GB"/>
        </w:rPr>
        <w:t>”</w:t>
      </w:r>
      <w:r w:rsidR="00D40067">
        <w:rPr>
          <w:lang w:val="en-GB"/>
        </w:rPr>
        <w:t xml:space="preserve"> </w:t>
      </w:r>
      <w:r w:rsidR="007E62A0" w:rsidRPr="00257F7A">
        <w:rPr>
          <w:lang w:val="en-GB"/>
        </w:rPr>
        <w:t xml:space="preserve">positive </w:t>
      </w:r>
      <w:r w:rsidR="008F4928" w:rsidRPr="00257F7A">
        <w:rPr>
          <w:lang w:val="en-GB"/>
        </w:rPr>
        <w:t>college experiences</w:t>
      </w:r>
      <w:r w:rsidR="00D06211" w:rsidRPr="00257F7A">
        <w:rPr>
          <w:color w:val="000000"/>
        </w:rPr>
        <w:t xml:space="preserve">, </w:t>
      </w:r>
      <w:r w:rsidR="00EC207B" w:rsidRPr="00257F7A">
        <w:rPr>
          <w:lang w:val="en-GB"/>
        </w:rPr>
        <w:t xml:space="preserve">indicating a beneficial influence of institutional support </w:t>
      </w:r>
      <w:r w:rsidR="00DB70DB" w:rsidRPr="00257F7A">
        <w:rPr>
          <w:lang w:val="en-GB"/>
        </w:rPr>
        <w:t xml:space="preserve">and experiential learning </w:t>
      </w:r>
      <w:r w:rsidR="00EC207B" w:rsidRPr="00257F7A">
        <w:rPr>
          <w:lang w:val="en-GB"/>
        </w:rPr>
        <w:t xml:space="preserve">on </w:t>
      </w:r>
      <w:r w:rsidR="006B44B4">
        <w:rPr>
          <w:lang w:val="en-GB"/>
        </w:rPr>
        <w:t>the</w:t>
      </w:r>
      <w:r w:rsidR="00EC207B" w:rsidRPr="00257F7A">
        <w:rPr>
          <w:lang w:val="en-GB"/>
        </w:rPr>
        <w:t xml:space="preserve"> mental health</w:t>
      </w:r>
      <w:r w:rsidR="006B44B4">
        <w:rPr>
          <w:lang w:val="en-GB"/>
        </w:rPr>
        <w:t xml:space="preserve"> of </w:t>
      </w:r>
      <w:r w:rsidR="006B44B4" w:rsidRPr="00257F7A">
        <w:rPr>
          <w:lang w:val="en-GB"/>
        </w:rPr>
        <w:t>underrepresented college students</w:t>
      </w:r>
      <w:r w:rsidR="006B44B4">
        <w:rPr>
          <w:lang w:val="en-GB"/>
        </w:rPr>
        <w:t>.</w:t>
      </w:r>
      <w:r w:rsidR="00D40067">
        <w:rPr>
          <w:lang w:val="en-GB"/>
        </w:rPr>
        <w:t xml:space="preserve"> </w:t>
      </w:r>
    </w:p>
    <w:p w14:paraId="4AF48B67" w14:textId="6D22D77C" w:rsidR="009D3306" w:rsidRPr="00257F7A" w:rsidRDefault="00E74167" w:rsidP="003F7C8F">
      <w:pPr>
        <w:widowControl w:val="0"/>
        <w:spacing w:line="480" w:lineRule="auto"/>
        <w:ind w:firstLine="720"/>
        <w:rPr>
          <w:lang w:val="en-GB"/>
        </w:rPr>
      </w:pPr>
      <w:r w:rsidRPr="00257F7A">
        <w:rPr>
          <w:lang w:val="en-GB"/>
        </w:rPr>
        <w:t xml:space="preserve">The </w:t>
      </w:r>
      <w:r w:rsidR="00EC43CB" w:rsidRPr="00257F7A">
        <w:rPr>
          <w:lang w:val="en-GB"/>
        </w:rPr>
        <w:t>study finding</w:t>
      </w:r>
      <w:r w:rsidR="00205386" w:rsidRPr="00257F7A">
        <w:rPr>
          <w:lang w:val="en-GB"/>
        </w:rPr>
        <w:t xml:space="preserve"> of </w:t>
      </w:r>
      <w:r w:rsidR="00BD53A3">
        <w:rPr>
          <w:lang w:val="en-GB"/>
        </w:rPr>
        <w:t xml:space="preserve">a </w:t>
      </w:r>
      <w:r w:rsidR="00205386" w:rsidRPr="00257F7A">
        <w:rPr>
          <w:lang w:val="en-GB"/>
        </w:rPr>
        <w:t>negative association between resilience and anxiety</w:t>
      </w:r>
      <w:r w:rsidR="004D6326">
        <w:rPr>
          <w:lang w:val="en-GB"/>
        </w:rPr>
        <w:t xml:space="preserve"> </w:t>
      </w:r>
      <w:r w:rsidR="00542C9F">
        <w:rPr>
          <w:lang w:val="en-GB"/>
        </w:rPr>
        <w:t xml:space="preserve">symptoms </w:t>
      </w:r>
      <w:r w:rsidR="00205386" w:rsidRPr="00257F7A">
        <w:rPr>
          <w:lang w:val="en-GB"/>
        </w:rPr>
        <w:t>is</w:t>
      </w:r>
      <w:r w:rsidRPr="00257F7A">
        <w:rPr>
          <w:lang w:val="en-GB"/>
        </w:rPr>
        <w:t xml:space="preserve"> consistent with previous </w:t>
      </w:r>
      <w:r w:rsidR="00EF586C">
        <w:rPr>
          <w:lang w:val="en-GB"/>
        </w:rPr>
        <w:t>literature</w:t>
      </w:r>
      <w:r w:rsidR="00EC43CB" w:rsidRPr="00257F7A">
        <w:rPr>
          <w:lang w:val="en-GB"/>
        </w:rPr>
        <w:t xml:space="preserve"> (</w:t>
      </w:r>
      <w:r w:rsidR="00B80C8A" w:rsidRPr="00257F7A">
        <w:t xml:space="preserve">Leary &amp; </w:t>
      </w:r>
      <w:proofErr w:type="spellStart"/>
      <w:r w:rsidR="00B80C8A" w:rsidRPr="00257F7A">
        <w:t>DeRosier</w:t>
      </w:r>
      <w:proofErr w:type="spellEnd"/>
      <w:r w:rsidR="00B80C8A" w:rsidRPr="00257F7A">
        <w:t xml:space="preserve">, 2012; </w:t>
      </w:r>
      <w:proofErr w:type="spellStart"/>
      <w:r w:rsidR="00FE0927" w:rsidRPr="00257F7A">
        <w:t>Hartson</w:t>
      </w:r>
      <w:proofErr w:type="spellEnd"/>
      <w:r w:rsidR="00FE0927" w:rsidRPr="00257F7A">
        <w:t xml:space="preserve"> et al., 2021</w:t>
      </w:r>
      <w:r w:rsidR="00F2190A" w:rsidRPr="00257F7A">
        <w:t>)</w:t>
      </w:r>
      <w:r w:rsidR="00C16A4E">
        <w:t xml:space="preserve"> and suggests that </w:t>
      </w:r>
      <w:r w:rsidR="00C16A4E" w:rsidRPr="00257F7A">
        <w:rPr>
          <w:lang w:val="en-GB"/>
        </w:rPr>
        <w:t>programs</w:t>
      </w:r>
      <w:r w:rsidR="00C16A4E">
        <w:rPr>
          <w:lang w:val="en-GB"/>
        </w:rPr>
        <w:t xml:space="preserve"> </w:t>
      </w:r>
      <w:r w:rsidR="00E53D2F">
        <w:rPr>
          <w:lang w:val="en-GB"/>
        </w:rPr>
        <w:t>designed to reduce</w:t>
      </w:r>
      <w:r w:rsidR="00C16A4E" w:rsidRPr="00257F7A">
        <w:rPr>
          <w:lang w:val="en-GB"/>
        </w:rPr>
        <w:t xml:space="preserve"> anxiety </w:t>
      </w:r>
      <w:r w:rsidR="00C16A4E">
        <w:rPr>
          <w:lang w:val="en-GB"/>
        </w:rPr>
        <w:t xml:space="preserve">among underrepresented students </w:t>
      </w:r>
      <w:r w:rsidR="00FB318E">
        <w:rPr>
          <w:lang w:val="en-GB"/>
        </w:rPr>
        <w:t xml:space="preserve">may </w:t>
      </w:r>
      <w:r w:rsidR="00E53D2F">
        <w:rPr>
          <w:lang w:val="en-GB"/>
        </w:rPr>
        <w:t xml:space="preserve">benefit from including </w:t>
      </w:r>
      <w:r w:rsidR="00C85139">
        <w:rPr>
          <w:lang w:val="en-GB"/>
        </w:rPr>
        <w:t xml:space="preserve">a </w:t>
      </w:r>
      <w:r w:rsidR="00E53D2F">
        <w:rPr>
          <w:lang w:val="en-GB"/>
        </w:rPr>
        <w:t>resilience component</w:t>
      </w:r>
      <w:r w:rsidR="008A3553">
        <w:rPr>
          <w:lang w:val="en-GB"/>
        </w:rPr>
        <w:t xml:space="preserve">, particularly given </w:t>
      </w:r>
      <w:r w:rsidR="004372C4">
        <w:rPr>
          <w:lang w:val="en-GB"/>
        </w:rPr>
        <w:t xml:space="preserve">the increased </w:t>
      </w:r>
      <w:r w:rsidR="008A3553" w:rsidRPr="00257F7A">
        <w:t>risk for mental health concerns</w:t>
      </w:r>
      <w:r w:rsidR="00687E6B">
        <w:t xml:space="preserve"> </w:t>
      </w:r>
      <w:r w:rsidR="00687E6B" w:rsidRPr="00257F7A">
        <w:rPr>
          <w:lang w:val="en-GB"/>
        </w:rPr>
        <w:t xml:space="preserve">on </w:t>
      </w:r>
      <w:r w:rsidR="00687E6B">
        <w:rPr>
          <w:lang w:val="en-GB"/>
        </w:rPr>
        <w:t xml:space="preserve">college </w:t>
      </w:r>
      <w:r w:rsidR="00687E6B" w:rsidRPr="00257F7A">
        <w:rPr>
          <w:lang w:val="en-GB"/>
        </w:rPr>
        <w:t>campus</w:t>
      </w:r>
      <w:r w:rsidR="00687E6B">
        <w:rPr>
          <w:lang w:val="en-GB"/>
        </w:rPr>
        <w:t>es</w:t>
      </w:r>
      <w:r w:rsidR="008A3553" w:rsidRPr="00257F7A">
        <w:t xml:space="preserve"> (House et al., 2020; McDougal et al., 2018). </w:t>
      </w:r>
      <w:r w:rsidR="00EF586C">
        <w:rPr>
          <w:lang w:val="en-GB"/>
        </w:rPr>
        <w:t>Building resilience</w:t>
      </w:r>
      <w:r w:rsidR="004630E3">
        <w:rPr>
          <w:lang w:val="en-GB"/>
        </w:rPr>
        <w:t xml:space="preserve"> </w:t>
      </w:r>
      <w:r w:rsidR="00EF586C">
        <w:rPr>
          <w:lang w:val="en-GB"/>
        </w:rPr>
        <w:t xml:space="preserve">can </w:t>
      </w:r>
      <w:r w:rsidR="0083735C">
        <w:rPr>
          <w:lang w:val="en-GB"/>
        </w:rPr>
        <w:t xml:space="preserve">lessen the negative impact of </w:t>
      </w:r>
      <w:r w:rsidR="0083735C" w:rsidRPr="00257F7A">
        <w:rPr>
          <w:lang w:val="en-GB"/>
        </w:rPr>
        <w:t xml:space="preserve">stress </w:t>
      </w:r>
      <w:r w:rsidR="0083735C">
        <w:rPr>
          <w:lang w:val="en-GB"/>
        </w:rPr>
        <w:t xml:space="preserve">on </w:t>
      </w:r>
      <w:r w:rsidR="00C16A4E">
        <w:rPr>
          <w:lang w:val="en-GB"/>
        </w:rPr>
        <w:t>college students’</w:t>
      </w:r>
      <w:r w:rsidR="005D4FD2">
        <w:rPr>
          <w:lang w:val="en-GB"/>
        </w:rPr>
        <w:t xml:space="preserve"> </w:t>
      </w:r>
      <w:r w:rsidR="00FE0927" w:rsidRPr="00257F7A">
        <w:rPr>
          <w:lang w:val="en-GB"/>
        </w:rPr>
        <w:t xml:space="preserve">mental health </w:t>
      </w:r>
      <w:r w:rsidR="00F92526" w:rsidRPr="00257F7A">
        <w:rPr>
          <w:lang w:val="en-GB"/>
        </w:rPr>
        <w:t>status</w:t>
      </w:r>
      <w:r w:rsidR="00EF586C">
        <w:rPr>
          <w:lang w:val="en-GB"/>
        </w:rPr>
        <w:t xml:space="preserve"> by </w:t>
      </w:r>
      <w:r w:rsidR="0024658A">
        <w:rPr>
          <w:lang w:val="en-GB"/>
        </w:rPr>
        <w:t>enhanc</w:t>
      </w:r>
      <w:r w:rsidR="00EF586C">
        <w:rPr>
          <w:lang w:val="en-GB"/>
        </w:rPr>
        <w:t>ing</w:t>
      </w:r>
      <w:r w:rsidR="00EE1F5C" w:rsidRPr="00257F7A">
        <w:rPr>
          <w:lang w:val="en-GB"/>
        </w:rPr>
        <w:t xml:space="preserve"> </w:t>
      </w:r>
      <w:r w:rsidR="004372C4">
        <w:rPr>
          <w:lang w:val="en-GB"/>
        </w:rPr>
        <w:t>problem-focused</w:t>
      </w:r>
      <w:r w:rsidR="004372C4" w:rsidRPr="00257F7A">
        <w:rPr>
          <w:lang w:val="en-GB"/>
        </w:rPr>
        <w:t xml:space="preserve"> coping </w:t>
      </w:r>
      <w:r w:rsidR="004372C4">
        <w:rPr>
          <w:lang w:val="en-GB"/>
        </w:rPr>
        <w:t xml:space="preserve">strategies, </w:t>
      </w:r>
      <w:r w:rsidR="00EE1F5C" w:rsidRPr="00257F7A">
        <w:rPr>
          <w:lang w:val="en-GB"/>
        </w:rPr>
        <w:t xml:space="preserve">positive </w:t>
      </w:r>
      <w:r w:rsidR="00EF0DAE">
        <w:rPr>
          <w:lang w:val="en-GB"/>
        </w:rPr>
        <w:t xml:space="preserve">affect, </w:t>
      </w:r>
      <w:r w:rsidR="004372C4">
        <w:rPr>
          <w:lang w:val="en-GB"/>
        </w:rPr>
        <w:t xml:space="preserve">and </w:t>
      </w:r>
      <w:r w:rsidR="00EF0DAE">
        <w:rPr>
          <w:lang w:val="en-GB"/>
        </w:rPr>
        <w:t>self-esteem</w:t>
      </w:r>
      <w:r w:rsidR="004372C4">
        <w:rPr>
          <w:lang w:val="en-GB"/>
        </w:rPr>
        <w:t xml:space="preserve"> </w:t>
      </w:r>
      <w:r w:rsidR="00EE1F5C" w:rsidRPr="00257F7A">
        <w:rPr>
          <w:lang w:val="en-GB"/>
        </w:rPr>
        <w:t xml:space="preserve">when faced with challenging </w:t>
      </w:r>
      <w:r w:rsidR="00EE1F5C">
        <w:rPr>
          <w:lang w:val="en-GB"/>
        </w:rPr>
        <w:t>situations</w:t>
      </w:r>
      <w:r w:rsidR="0083735C">
        <w:rPr>
          <w:lang w:val="en-GB"/>
        </w:rPr>
        <w:t xml:space="preserve"> </w:t>
      </w:r>
      <w:r w:rsidR="00EE1F5C" w:rsidRPr="00257F7A">
        <w:rPr>
          <w:lang w:val="en-GB"/>
        </w:rPr>
        <w:t>(</w:t>
      </w:r>
      <w:proofErr w:type="spellStart"/>
      <w:r w:rsidR="00EE1F5C" w:rsidRPr="00257F7A">
        <w:rPr>
          <w:lang w:val="en-GB"/>
        </w:rPr>
        <w:t>DeRosier</w:t>
      </w:r>
      <w:proofErr w:type="spellEnd"/>
      <w:r w:rsidR="00EE1F5C" w:rsidRPr="00257F7A">
        <w:rPr>
          <w:lang w:val="en-GB"/>
        </w:rPr>
        <w:t xml:space="preserve"> et al., 2013</w:t>
      </w:r>
      <w:r w:rsidR="0024658A">
        <w:rPr>
          <w:lang w:val="en-GB"/>
        </w:rPr>
        <w:t>;</w:t>
      </w:r>
      <w:r w:rsidR="0024658A" w:rsidRPr="0024658A">
        <w:t xml:space="preserve"> </w:t>
      </w:r>
      <w:r w:rsidR="00F13A84">
        <w:t>First et al., 201</w:t>
      </w:r>
      <w:r w:rsidR="00C7185F">
        <w:t>8</w:t>
      </w:r>
      <w:r w:rsidR="00F13A84">
        <w:t xml:space="preserve">; </w:t>
      </w:r>
      <w:r w:rsidR="0024658A" w:rsidRPr="00257F7A">
        <w:t xml:space="preserve">Steinhardt &amp; </w:t>
      </w:r>
      <w:proofErr w:type="spellStart"/>
      <w:r w:rsidR="0024658A" w:rsidRPr="00257F7A">
        <w:t>Dolbier</w:t>
      </w:r>
      <w:proofErr w:type="spellEnd"/>
      <w:r w:rsidR="0024658A" w:rsidRPr="00257F7A">
        <w:t>, 2008</w:t>
      </w:r>
      <w:r w:rsidR="00EE1F5C" w:rsidRPr="00257F7A">
        <w:rPr>
          <w:lang w:val="en-GB"/>
        </w:rPr>
        <w:t>).</w:t>
      </w:r>
      <w:r w:rsidR="0024658A">
        <w:rPr>
          <w:lang w:val="en-GB"/>
        </w:rPr>
        <w:t xml:space="preserve"> </w:t>
      </w:r>
      <w:r w:rsidR="002E091A">
        <w:rPr>
          <w:lang w:val="en-GB"/>
        </w:rPr>
        <w:t>C</w:t>
      </w:r>
      <w:r w:rsidR="00A75B55">
        <w:rPr>
          <w:lang w:val="en-GB"/>
        </w:rPr>
        <w:t xml:space="preserve">ollege programs focused on </w:t>
      </w:r>
      <w:r w:rsidR="00F1692F">
        <w:rPr>
          <w:lang w:val="en-GB"/>
        </w:rPr>
        <w:t>enhancing</w:t>
      </w:r>
      <w:r w:rsidR="00A75B55">
        <w:rPr>
          <w:lang w:val="en-GB"/>
        </w:rPr>
        <w:t xml:space="preserve"> </w:t>
      </w:r>
      <w:r w:rsidR="00A070F2">
        <w:rPr>
          <w:lang w:val="en-GB"/>
        </w:rPr>
        <w:t xml:space="preserve">underrepresented </w:t>
      </w:r>
      <w:r w:rsidR="004630E3">
        <w:rPr>
          <w:lang w:val="en-GB"/>
        </w:rPr>
        <w:t>students’</w:t>
      </w:r>
      <w:r w:rsidR="00A75B55">
        <w:rPr>
          <w:lang w:val="en-GB"/>
        </w:rPr>
        <w:t xml:space="preserve"> resilience </w:t>
      </w:r>
      <w:r w:rsidR="00583CF2">
        <w:rPr>
          <w:lang w:val="en-GB"/>
        </w:rPr>
        <w:t xml:space="preserve">can </w:t>
      </w:r>
      <w:r w:rsidR="0083735C">
        <w:rPr>
          <w:lang w:val="en-GB"/>
        </w:rPr>
        <w:t xml:space="preserve">also </w:t>
      </w:r>
      <w:r w:rsidR="002F2354">
        <w:rPr>
          <w:lang w:val="en-GB"/>
        </w:rPr>
        <w:t>assist</w:t>
      </w:r>
      <w:r w:rsidR="00F63411">
        <w:rPr>
          <w:lang w:val="en-GB"/>
        </w:rPr>
        <w:t xml:space="preserve"> students </w:t>
      </w:r>
      <w:r w:rsidR="00605852">
        <w:rPr>
          <w:lang w:val="en-GB"/>
        </w:rPr>
        <w:t xml:space="preserve">in </w:t>
      </w:r>
      <w:r w:rsidR="002F2354">
        <w:rPr>
          <w:lang w:val="en-GB"/>
        </w:rPr>
        <w:t>securing</w:t>
      </w:r>
      <w:r w:rsidR="00F63411">
        <w:rPr>
          <w:lang w:val="en-GB"/>
        </w:rPr>
        <w:t xml:space="preserve"> positive </w:t>
      </w:r>
      <w:r w:rsidR="0083735C">
        <w:rPr>
          <w:lang w:val="en-GB"/>
        </w:rPr>
        <w:t xml:space="preserve">mentoring </w:t>
      </w:r>
      <w:r w:rsidR="00F63411">
        <w:rPr>
          <w:lang w:val="en-GB"/>
        </w:rPr>
        <w:t xml:space="preserve">relationships with faculty </w:t>
      </w:r>
      <w:r w:rsidR="002F2354">
        <w:rPr>
          <w:lang w:val="en-GB"/>
        </w:rPr>
        <w:t>that help</w:t>
      </w:r>
      <w:r w:rsidR="00F71110">
        <w:rPr>
          <w:lang w:val="en-GB"/>
        </w:rPr>
        <w:t xml:space="preserve"> increase </w:t>
      </w:r>
      <w:r w:rsidR="0083735C">
        <w:rPr>
          <w:lang w:val="en-GB"/>
        </w:rPr>
        <w:t>students’</w:t>
      </w:r>
      <w:r w:rsidR="00F63411">
        <w:rPr>
          <w:lang w:val="en-GB"/>
        </w:rPr>
        <w:t xml:space="preserve"> sense of belonging, </w:t>
      </w:r>
      <w:r w:rsidR="00605852">
        <w:rPr>
          <w:lang w:val="en-GB"/>
        </w:rPr>
        <w:t xml:space="preserve">autonomy, </w:t>
      </w:r>
      <w:r w:rsidR="002C31D8">
        <w:rPr>
          <w:lang w:val="en-GB"/>
        </w:rPr>
        <w:t>academic engagement</w:t>
      </w:r>
      <w:r w:rsidR="0024658A">
        <w:rPr>
          <w:lang w:val="en-GB"/>
        </w:rPr>
        <w:t xml:space="preserve">, </w:t>
      </w:r>
      <w:r w:rsidR="00605852">
        <w:rPr>
          <w:lang w:val="en-GB"/>
        </w:rPr>
        <w:t xml:space="preserve">and personal </w:t>
      </w:r>
      <w:r w:rsidR="002C31D8">
        <w:rPr>
          <w:lang w:val="en-GB"/>
        </w:rPr>
        <w:t xml:space="preserve">and social </w:t>
      </w:r>
      <w:r w:rsidR="00605852">
        <w:rPr>
          <w:lang w:val="en-GB"/>
        </w:rPr>
        <w:t>growth</w:t>
      </w:r>
      <w:r w:rsidR="007B7444">
        <w:rPr>
          <w:lang w:val="en-GB"/>
        </w:rPr>
        <w:t xml:space="preserve"> (</w:t>
      </w:r>
      <w:proofErr w:type="spellStart"/>
      <w:r w:rsidR="007B7444">
        <w:rPr>
          <w:lang w:val="en-GB"/>
        </w:rPr>
        <w:t>Raposa</w:t>
      </w:r>
      <w:proofErr w:type="spellEnd"/>
      <w:r w:rsidR="007B7444">
        <w:rPr>
          <w:lang w:val="en-GB"/>
        </w:rPr>
        <w:t xml:space="preserve"> et al., 2021).</w:t>
      </w:r>
      <w:r w:rsidR="00605852">
        <w:rPr>
          <w:lang w:val="en-GB"/>
        </w:rPr>
        <w:t xml:space="preserve"> </w:t>
      </w:r>
      <w:r w:rsidR="00687E6B">
        <w:rPr>
          <w:lang w:val="en-GB"/>
        </w:rPr>
        <w:t xml:space="preserve"> </w:t>
      </w:r>
      <w:r w:rsidR="00542C9F">
        <w:rPr>
          <w:lang w:val="en-GB"/>
        </w:rPr>
        <w:t xml:space="preserve"> </w:t>
      </w:r>
    </w:p>
    <w:p w14:paraId="7F0B6054" w14:textId="5A9CC94D" w:rsidR="00410E45" w:rsidRDefault="00FE4CB5" w:rsidP="00410E45">
      <w:pPr>
        <w:spacing w:line="480" w:lineRule="auto"/>
        <w:ind w:firstLine="720"/>
      </w:pPr>
      <w:r>
        <w:rPr>
          <w:lang w:val="en-GB"/>
        </w:rPr>
        <w:t>The c</w:t>
      </w:r>
      <w:r w:rsidRPr="00257F7A">
        <w:rPr>
          <w:lang w:val="en-GB"/>
        </w:rPr>
        <w:t xml:space="preserve">urrent </w:t>
      </w:r>
      <w:r>
        <w:rPr>
          <w:lang w:val="en-GB"/>
        </w:rPr>
        <w:t>study suggests</w:t>
      </w:r>
      <w:r w:rsidRPr="00257F7A">
        <w:rPr>
          <w:lang w:val="en-GB"/>
        </w:rPr>
        <w:t xml:space="preserve"> that the interplay </w:t>
      </w:r>
      <w:r>
        <w:rPr>
          <w:lang w:val="en-GB"/>
        </w:rPr>
        <w:t>of resilience and positive</w:t>
      </w:r>
      <w:r w:rsidRPr="00257F7A">
        <w:rPr>
          <w:lang w:val="en-GB"/>
        </w:rPr>
        <w:t xml:space="preserve"> college experiences </w:t>
      </w:r>
      <w:r>
        <w:rPr>
          <w:lang w:val="en-GB"/>
        </w:rPr>
        <w:t>has a</w:t>
      </w:r>
      <w:r w:rsidRPr="00257F7A">
        <w:rPr>
          <w:lang w:val="en-GB"/>
        </w:rPr>
        <w:t xml:space="preserve"> beneficial influence on underrepresented college students’ mental health.</w:t>
      </w:r>
      <w:r>
        <w:rPr>
          <w:lang w:val="en-GB"/>
        </w:rPr>
        <w:t xml:space="preserve"> </w:t>
      </w:r>
      <w:r w:rsidR="00ED1104">
        <w:rPr>
          <w:lang w:val="en-GB"/>
        </w:rPr>
        <w:t xml:space="preserve">A </w:t>
      </w:r>
      <w:r w:rsidR="001A6CBF" w:rsidRPr="00257F7A">
        <w:rPr>
          <w:lang w:val="en-GB"/>
        </w:rPr>
        <w:lastRenderedPageBreak/>
        <w:t xml:space="preserve">sense of belonging and involvement in academic communities </w:t>
      </w:r>
      <w:r w:rsidR="009779ED">
        <w:rPr>
          <w:lang w:val="en-GB"/>
        </w:rPr>
        <w:t>are</w:t>
      </w:r>
      <w:r w:rsidR="001A6CBF">
        <w:rPr>
          <w:lang w:val="en-GB"/>
        </w:rPr>
        <w:t xml:space="preserve"> </w:t>
      </w:r>
      <w:r w:rsidR="001A6CBF" w:rsidRPr="00257F7A">
        <w:rPr>
          <w:lang w:val="en-GB"/>
        </w:rPr>
        <w:t xml:space="preserve">significant </w:t>
      </w:r>
      <w:r w:rsidR="00D84991">
        <w:rPr>
          <w:lang w:val="en-GB"/>
        </w:rPr>
        <w:t>determining factors</w:t>
      </w:r>
      <w:r w:rsidR="001A6CBF" w:rsidRPr="00257F7A">
        <w:rPr>
          <w:lang w:val="en-GB"/>
        </w:rPr>
        <w:t xml:space="preserve"> of resilience </w:t>
      </w:r>
      <w:r w:rsidR="001A6CBF">
        <w:rPr>
          <w:lang w:val="en-GB"/>
        </w:rPr>
        <w:t>and</w:t>
      </w:r>
      <w:r w:rsidR="001A6CBF" w:rsidRPr="00257F7A">
        <w:rPr>
          <w:lang w:val="en-GB"/>
        </w:rPr>
        <w:t xml:space="preserve"> mental health </w:t>
      </w:r>
      <w:r w:rsidR="001A6CBF">
        <w:rPr>
          <w:lang w:val="en-GB"/>
        </w:rPr>
        <w:t>among</w:t>
      </w:r>
      <w:r w:rsidR="001A6CBF" w:rsidRPr="00257F7A">
        <w:rPr>
          <w:lang w:val="en-GB"/>
        </w:rPr>
        <w:t xml:space="preserve"> college students (</w:t>
      </w:r>
      <w:r w:rsidR="001A6CBF" w:rsidRPr="00257F7A">
        <w:t>Brown, 2004; Stanton-Salazar, 2011</w:t>
      </w:r>
      <w:r w:rsidR="001A6CBF" w:rsidRPr="00257F7A">
        <w:rPr>
          <w:lang w:val="en-GB"/>
        </w:rPr>
        <w:t xml:space="preserve">; Zimmerman, 2010). </w:t>
      </w:r>
      <w:r w:rsidR="00A220DF">
        <w:rPr>
          <w:lang w:val="en-GB"/>
        </w:rPr>
        <w:t xml:space="preserve">In addition to </w:t>
      </w:r>
      <w:r w:rsidR="00D90194">
        <w:rPr>
          <w:lang w:val="en-GB"/>
        </w:rPr>
        <w:t xml:space="preserve">the </w:t>
      </w:r>
      <w:r w:rsidR="00A220DF">
        <w:rPr>
          <w:lang w:val="en-GB"/>
        </w:rPr>
        <w:t>benefits on mental health</w:t>
      </w:r>
      <w:r w:rsidR="004D269D">
        <w:rPr>
          <w:lang w:val="en-GB"/>
        </w:rPr>
        <w:t>, i</w:t>
      </w:r>
      <w:r w:rsidR="00DE3EB0" w:rsidRPr="00257F7A">
        <w:rPr>
          <w:lang w:val="en-GB"/>
        </w:rPr>
        <w:t>nstitutional support has been shown to facilitate better academic and social adjustment to college, especially among underrepresented students</w:t>
      </w:r>
      <w:r w:rsidR="00583CF2">
        <w:rPr>
          <w:lang w:val="en-GB"/>
        </w:rPr>
        <w:t xml:space="preserve"> </w:t>
      </w:r>
      <w:r w:rsidR="00FD20B4" w:rsidRPr="00257F7A">
        <w:rPr>
          <w:lang w:val="en-GB"/>
        </w:rPr>
        <w:t>(</w:t>
      </w:r>
      <w:r w:rsidR="00FD20B4" w:rsidRPr="00257F7A">
        <w:t xml:space="preserve">Cook-Sather &amp; </w:t>
      </w:r>
      <w:proofErr w:type="spellStart"/>
      <w:r w:rsidR="00FD20B4" w:rsidRPr="00257F7A">
        <w:t>Felten</w:t>
      </w:r>
      <w:proofErr w:type="spellEnd"/>
      <w:r w:rsidR="00FD20B4" w:rsidRPr="00257F7A">
        <w:t xml:space="preserve">, 2017; Santos &amp; </w:t>
      </w:r>
      <w:proofErr w:type="spellStart"/>
      <w:r w:rsidR="00FD20B4" w:rsidRPr="00257F7A">
        <w:t>Reigadas</w:t>
      </w:r>
      <w:proofErr w:type="spellEnd"/>
      <w:r w:rsidR="00FD20B4" w:rsidRPr="00257F7A">
        <w:t>, 2002)</w:t>
      </w:r>
      <w:r w:rsidR="00B671AB" w:rsidRPr="00257F7A">
        <w:rPr>
          <w:lang w:val="en-GB"/>
        </w:rPr>
        <w:t>.</w:t>
      </w:r>
      <w:r w:rsidR="00FD20B4" w:rsidRPr="00257F7A">
        <w:rPr>
          <w:lang w:val="en-GB"/>
        </w:rPr>
        <w:t xml:space="preserve"> </w:t>
      </w:r>
      <w:r w:rsidR="008E06E5" w:rsidRPr="006721DD">
        <w:rPr>
          <w:highlight w:val="yellow"/>
          <w:lang w:val="en-GB"/>
        </w:rPr>
        <w:t>These</w:t>
      </w:r>
      <w:r w:rsidR="00410E45" w:rsidRPr="006721DD">
        <w:rPr>
          <w:highlight w:val="yellow"/>
          <w:lang w:val="en-GB"/>
        </w:rPr>
        <w:t xml:space="preserve"> positive experiences </w:t>
      </w:r>
      <w:r w:rsidR="008E06E5" w:rsidRPr="006721DD">
        <w:rPr>
          <w:highlight w:val="yellow"/>
          <w:lang w:val="en-GB"/>
        </w:rPr>
        <w:t xml:space="preserve">of support </w:t>
      </w:r>
      <w:r w:rsidR="00410E45" w:rsidRPr="006721DD">
        <w:rPr>
          <w:highlight w:val="yellow"/>
          <w:lang w:val="en-GB"/>
        </w:rPr>
        <w:t>foster adjustment</w:t>
      </w:r>
      <w:r w:rsidR="00D90194" w:rsidRPr="006721DD">
        <w:rPr>
          <w:highlight w:val="yellow"/>
          <w:lang w:val="en-GB"/>
        </w:rPr>
        <w:t xml:space="preserve"> and </w:t>
      </w:r>
      <w:r w:rsidR="00410E45" w:rsidRPr="006721DD">
        <w:rPr>
          <w:highlight w:val="yellow"/>
        </w:rPr>
        <w:t>enable a stress</w:t>
      </w:r>
      <w:r w:rsidR="005D7CF7">
        <w:rPr>
          <w:highlight w:val="yellow"/>
        </w:rPr>
        <w:t xml:space="preserve"> </w:t>
      </w:r>
      <w:r w:rsidR="00410E45" w:rsidRPr="006721DD">
        <w:rPr>
          <w:highlight w:val="yellow"/>
        </w:rPr>
        <w:t>enhancing mindset that can reduce the impact of stress</w:t>
      </w:r>
      <w:r w:rsidR="00D90194" w:rsidRPr="006721DD">
        <w:rPr>
          <w:highlight w:val="yellow"/>
        </w:rPr>
        <w:t xml:space="preserve"> </w:t>
      </w:r>
      <w:r w:rsidR="00410E45" w:rsidRPr="006721DD">
        <w:rPr>
          <w:highlight w:val="yellow"/>
        </w:rPr>
        <w:t>on anxiety symptoms (</w:t>
      </w:r>
      <w:proofErr w:type="spellStart"/>
      <w:r w:rsidR="00410E45" w:rsidRPr="006721DD">
        <w:rPr>
          <w:highlight w:val="yellow"/>
        </w:rPr>
        <w:t>Huebschmann</w:t>
      </w:r>
      <w:proofErr w:type="spellEnd"/>
      <w:r w:rsidR="00410E45" w:rsidRPr="006721DD">
        <w:rPr>
          <w:highlight w:val="yellow"/>
        </w:rPr>
        <w:t xml:space="preserve"> &amp; Sheets, 2020).</w:t>
      </w:r>
    </w:p>
    <w:p w14:paraId="0825B191" w14:textId="469B8222" w:rsidR="00D15C6A" w:rsidRDefault="00BC0F32" w:rsidP="00FE4CB5">
      <w:pPr>
        <w:spacing w:line="480" w:lineRule="auto"/>
        <w:ind w:firstLine="720"/>
        <w:rPr>
          <w:lang w:val="en-GB"/>
        </w:rPr>
      </w:pPr>
      <w:r>
        <w:t>For example, p</w:t>
      </w:r>
      <w:r w:rsidR="00474FE0" w:rsidRPr="004E7CCE">
        <w:t>aid experiential learning opportunities related to future career employment opportunities</w:t>
      </w:r>
      <w:r w:rsidR="00D90194">
        <w:t xml:space="preserve"> – </w:t>
      </w:r>
      <w:r w:rsidR="00474FE0" w:rsidRPr="004E7CCE">
        <w:t>versus employment that simply helps to pay student bills</w:t>
      </w:r>
      <w:r w:rsidR="00D90194">
        <w:t xml:space="preserve"> – </w:t>
      </w:r>
      <w:r w:rsidR="002C048C" w:rsidRPr="00837789">
        <w:t xml:space="preserve">may </w:t>
      </w:r>
      <w:r w:rsidR="005B6125">
        <w:t>enhance</w:t>
      </w:r>
      <w:r w:rsidR="002C048C" w:rsidRPr="00837789">
        <w:t xml:space="preserve"> student</w:t>
      </w:r>
      <w:r w:rsidR="005B6125">
        <w:t>s’</w:t>
      </w:r>
      <w:r w:rsidR="002C048C" w:rsidRPr="00837789">
        <w:t xml:space="preserve"> mental health</w:t>
      </w:r>
      <w:r w:rsidR="004E7CCE" w:rsidRPr="00837789">
        <w:t xml:space="preserve"> and </w:t>
      </w:r>
      <w:r w:rsidR="005B6125">
        <w:t>facilitate</w:t>
      </w:r>
      <w:r w:rsidR="004E7CCE" w:rsidRPr="00837789">
        <w:t xml:space="preserve"> career readiness</w:t>
      </w:r>
      <w:r w:rsidR="00474FE0" w:rsidRPr="004E7CCE">
        <w:t xml:space="preserve">. </w:t>
      </w:r>
      <w:r w:rsidR="00474FE0" w:rsidRPr="00551C41">
        <w:t>Everett and Bischoff (2021)</w:t>
      </w:r>
      <w:r w:rsidR="00474FE0" w:rsidRPr="004E7CCE">
        <w:t xml:space="preserve"> describe using campus libraries as an extension of the classroom to provide workplace experiential learning opportunities for skill development and team-based learning. </w:t>
      </w:r>
      <w:proofErr w:type="spellStart"/>
      <w:r w:rsidR="00474FE0" w:rsidRPr="004E7CCE">
        <w:t>Raska</w:t>
      </w:r>
      <w:proofErr w:type="spellEnd"/>
      <w:r w:rsidR="00474FE0" w:rsidRPr="004E7CCE">
        <w:t xml:space="preserve"> and </w:t>
      </w:r>
      <w:proofErr w:type="spellStart"/>
      <w:r w:rsidR="00C7185F">
        <w:t>Weisenbach</w:t>
      </w:r>
      <w:proofErr w:type="spellEnd"/>
      <w:r w:rsidR="00C7185F">
        <w:t xml:space="preserve"> </w:t>
      </w:r>
      <w:r w:rsidR="00474FE0" w:rsidRPr="004E7CCE">
        <w:t xml:space="preserve">Keller (2021) successfully provided experiential learning business opportunities that integrated marketing classrooms with a student organization to develop career-related skills valued by future employers. The success of </w:t>
      </w:r>
      <w:r w:rsidR="00A220DF">
        <w:t>this</w:t>
      </w:r>
      <w:r w:rsidR="00474FE0" w:rsidRPr="004E7CCE">
        <w:t xml:space="preserve"> program was reflected by student improvements in career-ready competencies and self-reported scores on all of Gallup’s </w:t>
      </w:r>
      <w:r w:rsidR="00E114FF">
        <w:t>“</w:t>
      </w:r>
      <w:r w:rsidR="00474FE0" w:rsidRPr="004E7CCE">
        <w:t>Big Six</w:t>
      </w:r>
      <w:r w:rsidR="00E114FF">
        <w:t>”</w:t>
      </w:r>
      <w:r w:rsidR="00474FE0" w:rsidRPr="004E7CCE">
        <w:t xml:space="preserve"> college experiences.</w:t>
      </w:r>
      <w:r w:rsidR="00A220DF">
        <w:t xml:space="preserve"> </w:t>
      </w:r>
      <w:r w:rsidR="00D90194" w:rsidRPr="000B108F">
        <w:rPr>
          <w:highlight w:val="yellow"/>
        </w:rPr>
        <w:t xml:space="preserve">These experiences </w:t>
      </w:r>
      <w:r w:rsidR="00D90194">
        <w:rPr>
          <w:highlight w:val="yellow"/>
        </w:rPr>
        <w:t>enable students to enhance their capacity</w:t>
      </w:r>
      <w:r w:rsidR="00D90194" w:rsidRPr="000B108F">
        <w:rPr>
          <w:highlight w:val="yellow"/>
        </w:rPr>
        <w:t xml:space="preserve"> to adapt</w:t>
      </w:r>
      <w:r w:rsidR="00D90194">
        <w:rPr>
          <w:highlight w:val="yellow"/>
        </w:rPr>
        <w:t xml:space="preserve"> and build resilience resources through the development of</w:t>
      </w:r>
      <w:r w:rsidR="00D90194" w:rsidRPr="000B108F">
        <w:rPr>
          <w:highlight w:val="yellow"/>
        </w:rPr>
        <w:t xml:space="preserve"> valuable career skills such as </w:t>
      </w:r>
      <w:r w:rsidR="00D90194">
        <w:rPr>
          <w:highlight w:val="yellow"/>
        </w:rPr>
        <w:t xml:space="preserve">the ability to </w:t>
      </w:r>
      <w:r w:rsidR="00D90194" w:rsidRPr="000B108F">
        <w:rPr>
          <w:highlight w:val="yellow"/>
        </w:rPr>
        <w:t>problem-solv</w:t>
      </w:r>
      <w:r w:rsidR="00D90194">
        <w:rPr>
          <w:highlight w:val="yellow"/>
        </w:rPr>
        <w:t>e</w:t>
      </w:r>
      <w:r w:rsidR="00D90194" w:rsidRPr="000B108F">
        <w:rPr>
          <w:highlight w:val="yellow"/>
        </w:rPr>
        <w:t>, build confidence</w:t>
      </w:r>
      <w:r w:rsidR="00D90194">
        <w:rPr>
          <w:highlight w:val="yellow"/>
        </w:rPr>
        <w:t xml:space="preserve">, and develop a feeling of control over their careers </w:t>
      </w:r>
      <w:r w:rsidR="00D90194" w:rsidRPr="000B108F">
        <w:rPr>
          <w:highlight w:val="yellow"/>
        </w:rPr>
        <w:t>(Duffy, 2010)</w:t>
      </w:r>
      <w:r w:rsidR="00D90194">
        <w:t xml:space="preserve">. </w:t>
      </w:r>
      <w:r w:rsidR="00A220DF" w:rsidRPr="00305309">
        <w:rPr>
          <w:highlight w:val="yellow"/>
        </w:rPr>
        <w:t xml:space="preserve">Given the benefits of experiential learning on mental health and </w:t>
      </w:r>
      <w:r w:rsidR="008E06E5">
        <w:rPr>
          <w:highlight w:val="yellow"/>
        </w:rPr>
        <w:t>on strengthening the</w:t>
      </w:r>
      <w:r w:rsidR="00305309" w:rsidRPr="00305309">
        <w:rPr>
          <w:highlight w:val="yellow"/>
        </w:rPr>
        <w:t xml:space="preserve"> association between resilience and college wellbeing</w:t>
      </w:r>
      <w:r w:rsidR="00A220DF" w:rsidRPr="00305309">
        <w:rPr>
          <w:highlight w:val="yellow"/>
        </w:rPr>
        <w:t>, opportunities to foster such experiences should be prioritized.</w:t>
      </w:r>
      <w:r w:rsidR="00A220DF">
        <w:t xml:space="preserve"> </w:t>
      </w:r>
      <w:r w:rsidR="00751E09">
        <w:t xml:space="preserve"> </w:t>
      </w:r>
    </w:p>
    <w:p w14:paraId="20FE310B" w14:textId="7C22056E" w:rsidR="00DB7B88" w:rsidRPr="00192223" w:rsidRDefault="00274788" w:rsidP="00DB7B88">
      <w:pPr>
        <w:spacing w:line="480" w:lineRule="auto"/>
        <w:ind w:firstLine="720"/>
        <w:rPr>
          <w:highlight w:val="yellow"/>
          <w:lang w:val="en-GB"/>
        </w:rPr>
      </w:pPr>
      <w:r>
        <w:rPr>
          <w:lang w:val="en-GB"/>
        </w:rPr>
        <w:t>In the current study, first generation status was the only demographic factor significantly associated with symptoms of anxiety. Thus, f</w:t>
      </w:r>
      <w:r w:rsidR="009B4778">
        <w:rPr>
          <w:lang w:val="en-GB"/>
        </w:rPr>
        <w:t xml:space="preserve">irst generation </w:t>
      </w:r>
      <w:r w:rsidR="00CF0EE1">
        <w:rPr>
          <w:lang w:val="en-GB"/>
        </w:rPr>
        <w:t xml:space="preserve">college </w:t>
      </w:r>
      <w:r w:rsidR="009B4778">
        <w:rPr>
          <w:lang w:val="en-GB"/>
        </w:rPr>
        <w:t>students</w:t>
      </w:r>
      <w:r w:rsidR="00A0761D">
        <w:rPr>
          <w:lang w:val="en-GB"/>
        </w:rPr>
        <w:t xml:space="preserve"> </w:t>
      </w:r>
      <w:r w:rsidR="009B4778">
        <w:rPr>
          <w:lang w:val="en-GB"/>
        </w:rPr>
        <w:t xml:space="preserve">may </w:t>
      </w:r>
      <w:r w:rsidR="00A0761D">
        <w:rPr>
          <w:lang w:val="en-GB"/>
        </w:rPr>
        <w:t xml:space="preserve">particularly </w:t>
      </w:r>
      <w:r w:rsidR="009B4778">
        <w:rPr>
          <w:lang w:val="en-GB"/>
        </w:rPr>
        <w:lastRenderedPageBreak/>
        <w:t xml:space="preserve">benefit from </w:t>
      </w:r>
      <w:r w:rsidR="002B06B8">
        <w:rPr>
          <w:lang w:val="en-GB"/>
        </w:rPr>
        <w:t>supportive</w:t>
      </w:r>
      <w:r w:rsidR="0054536F">
        <w:rPr>
          <w:lang w:val="en-GB"/>
        </w:rPr>
        <w:t xml:space="preserve"> faculty </w:t>
      </w:r>
      <w:r w:rsidR="00CF0EE1">
        <w:rPr>
          <w:lang w:val="en-GB"/>
        </w:rPr>
        <w:t xml:space="preserve">and </w:t>
      </w:r>
      <w:r w:rsidR="002B06B8">
        <w:rPr>
          <w:lang w:val="en-GB"/>
        </w:rPr>
        <w:t xml:space="preserve">positive </w:t>
      </w:r>
      <w:r w:rsidR="002221D7">
        <w:rPr>
          <w:lang w:val="en-GB"/>
        </w:rPr>
        <w:t xml:space="preserve">experiential </w:t>
      </w:r>
      <w:r w:rsidR="009B4778">
        <w:rPr>
          <w:lang w:val="en-GB"/>
        </w:rPr>
        <w:t xml:space="preserve">learning experiences. </w:t>
      </w:r>
      <w:r w:rsidR="00AD530E" w:rsidRPr="002B4FE7">
        <w:rPr>
          <w:highlight w:val="yellow"/>
          <w:lang w:val="en-GB"/>
        </w:rPr>
        <w:t>A recent Gallup-Purdue Index using a nationally representative sample showed that first generation college students rated faculty as less supportive and less caring and were less likely to identify supportive mentoring relationships (</w:t>
      </w:r>
      <w:proofErr w:type="spellStart"/>
      <w:r w:rsidR="00AD530E" w:rsidRPr="002B4FE7">
        <w:rPr>
          <w:highlight w:val="yellow"/>
          <w:lang w:val="en-GB"/>
        </w:rPr>
        <w:t>Raposa</w:t>
      </w:r>
      <w:proofErr w:type="spellEnd"/>
      <w:r w:rsidR="00AD530E" w:rsidRPr="002B4FE7">
        <w:rPr>
          <w:highlight w:val="yellow"/>
          <w:lang w:val="en-GB"/>
        </w:rPr>
        <w:t xml:space="preserve"> et al., 2021). First generation </w:t>
      </w:r>
      <w:r w:rsidR="00AD530E" w:rsidRPr="002B4FE7">
        <w:rPr>
          <w:color w:val="000000"/>
          <w:highlight w:val="yellow"/>
        </w:rPr>
        <w:t xml:space="preserve">students’ average rating on Gallup’s “Big Six” (20.84, SD = 3.44) in the current study was between 3 </w:t>
      </w:r>
      <w:r w:rsidR="00AD530E" w:rsidRPr="002B4FE7">
        <w:rPr>
          <w:i/>
          <w:iCs/>
          <w:color w:val="000000"/>
          <w:highlight w:val="yellow"/>
        </w:rPr>
        <w:t>(neutral)</w:t>
      </w:r>
      <w:r w:rsidR="00AD530E" w:rsidRPr="002B4FE7">
        <w:rPr>
          <w:color w:val="000000"/>
          <w:highlight w:val="yellow"/>
        </w:rPr>
        <w:t xml:space="preserve"> and 4 </w:t>
      </w:r>
      <w:r w:rsidR="00AD530E" w:rsidRPr="002B4FE7">
        <w:rPr>
          <w:i/>
          <w:iCs/>
          <w:color w:val="000000"/>
          <w:highlight w:val="yellow"/>
        </w:rPr>
        <w:t>(agree)</w:t>
      </w:r>
      <w:r w:rsidR="00AD530E" w:rsidRPr="002B4FE7">
        <w:rPr>
          <w:color w:val="000000"/>
          <w:highlight w:val="yellow"/>
        </w:rPr>
        <w:t xml:space="preserve">, indicating </w:t>
      </w:r>
      <w:r w:rsidR="00AD530E">
        <w:rPr>
          <w:color w:val="000000"/>
          <w:highlight w:val="yellow"/>
        </w:rPr>
        <w:t>modest</w:t>
      </w:r>
      <w:r w:rsidR="00AD530E" w:rsidRPr="002B4FE7">
        <w:rPr>
          <w:color w:val="000000"/>
          <w:highlight w:val="yellow"/>
        </w:rPr>
        <w:t xml:space="preserve"> endorsement of positive campus experiences.</w:t>
      </w:r>
      <w:r w:rsidR="00AD530E">
        <w:rPr>
          <w:color w:val="000000"/>
        </w:rPr>
        <w:t xml:space="preserve"> </w:t>
      </w:r>
      <w:r w:rsidR="00D33E24">
        <w:rPr>
          <w:lang w:val="en-GB"/>
        </w:rPr>
        <w:t>Scholars have</w:t>
      </w:r>
      <w:r w:rsidR="00B23CA0">
        <w:rPr>
          <w:lang w:val="en-GB"/>
        </w:rPr>
        <w:t xml:space="preserve"> focused on </w:t>
      </w:r>
      <w:r w:rsidR="00D33E24">
        <w:rPr>
          <w:lang w:val="en-GB"/>
        </w:rPr>
        <w:t xml:space="preserve">interventions that </w:t>
      </w:r>
      <w:r w:rsidR="00B23CA0">
        <w:rPr>
          <w:lang w:val="en-GB"/>
        </w:rPr>
        <w:t xml:space="preserve">empower </w:t>
      </w:r>
      <w:r w:rsidR="00B23CA0" w:rsidRPr="00257F7A">
        <w:rPr>
          <w:lang w:val="en-GB"/>
        </w:rPr>
        <w:t>first</w:t>
      </w:r>
      <w:r w:rsidR="00DB7B88">
        <w:rPr>
          <w:lang w:val="en-GB"/>
        </w:rPr>
        <w:t>-</w:t>
      </w:r>
      <w:r w:rsidR="00B23CA0" w:rsidRPr="00257F7A">
        <w:rPr>
          <w:lang w:val="en-GB"/>
        </w:rPr>
        <w:t xml:space="preserve">generation students </w:t>
      </w:r>
      <w:r w:rsidR="00B23CA0">
        <w:rPr>
          <w:lang w:val="en-GB"/>
        </w:rPr>
        <w:t>to cultivate on-campus connections</w:t>
      </w:r>
      <w:r w:rsidR="00D33E24">
        <w:rPr>
          <w:lang w:val="en-GB"/>
        </w:rPr>
        <w:t>, and results indicated that participating students</w:t>
      </w:r>
      <w:r w:rsidR="00B23CA0">
        <w:rPr>
          <w:lang w:val="en-GB"/>
        </w:rPr>
        <w:t xml:space="preserve"> </w:t>
      </w:r>
      <w:r w:rsidR="00D33E24">
        <w:rPr>
          <w:lang w:val="en-GB"/>
        </w:rPr>
        <w:t xml:space="preserve">had </w:t>
      </w:r>
      <w:r w:rsidR="00B23CA0">
        <w:rPr>
          <w:lang w:val="en-GB"/>
        </w:rPr>
        <w:t xml:space="preserve">improved attitudes, enhanced relationships with instructors, and higher academic performance </w:t>
      </w:r>
      <w:r w:rsidR="005717A2">
        <w:rPr>
          <w:lang w:val="en-GB"/>
        </w:rPr>
        <w:t xml:space="preserve">during </w:t>
      </w:r>
      <w:r w:rsidR="001408FA">
        <w:rPr>
          <w:lang w:val="en-GB"/>
        </w:rPr>
        <w:t>their</w:t>
      </w:r>
      <w:r w:rsidR="00B23CA0">
        <w:rPr>
          <w:lang w:val="en-GB"/>
        </w:rPr>
        <w:t xml:space="preserve"> first year in college</w:t>
      </w:r>
      <w:r w:rsidR="005717A2">
        <w:rPr>
          <w:lang w:val="en-GB"/>
        </w:rPr>
        <w:t xml:space="preserve"> (Schwartz et al., 2018)</w:t>
      </w:r>
      <w:r w:rsidR="00B23CA0">
        <w:rPr>
          <w:lang w:val="en-GB"/>
        </w:rPr>
        <w:t xml:space="preserve">. </w:t>
      </w:r>
      <w:r w:rsidR="00DB7B88" w:rsidRPr="002B4FE7">
        <w:rPr>
          <w:highlight w:val="yellow"/>
          <w:lang w:val="en-GB"/>
        </w:rPr>
        <w:t>Additional research is needed to determine whether such programs also exert benefits on the mental health of first</w:t>
      </w:r>
      <w:r w:rsidR="00DB7B88">
        <w:rPr>
          <w:highlight w:val="yellow"/>
          <w:lang w:val="en-GB"/>
        </w:rPr>
        <w:t>-</w:t>
      </w:r>
      <w:r w:rsidR="00DB7B88" w:rsidRPr="002B4FE7">
        <w:rPr>
          <w:highlight w:val="yellow"/>
          <w:lang w:val="en-GB"/>
        </w:rPr>
        <w:t>generation students.</w:t>
      </w:r>
      <w:r w:rsidR="00AD530E">
        <w:rPr>
          <w:highlight w:val="yellow"/>
          <w:lang w:val="en-GB"/>
        </w:rPr>
        <w:t xml:space="preserve"> </w:t>
      </w:r>
    </w:p>
    <w:p w14:paraId="3D1C2E9C" w14:textId="2168533B" w:rsidR="00484DE6" w:rsidRPr="003C12C5" w:rsidRDefault="009E480C" w:rsidP="003C12C5">
      <w:pPr>
        <w:spacing w:line="480" w:lineRule="auto"/>
        <w:ind w:firstLine="720"/>
        <w:rPr>
          <w:highlight w:val="yellow"/>
          <w:lang w:val="en-GB"/>
        </w:rPr>
      </w:pPr>
      <w:r w:rsidRPr="00257F7A">
        <w:rPr>
          <w:lang w:val="en-GB"/>
        </w:rPr>
        <w:t>R</w:t>
      </w:r>
      <w:r w:rsidR="009C438E" w:rsidRPr="00257F7A">
        <w:rPr>
          <w:lang w:val="en-GB"/>
        </w:rPr>
        <w:t>esult</w:t>
      </w:r>
      <w:r w:rsidR="00A27284" w:rsidRPr="00257F7A">
        <w:rPr>
          <w:lang w:val="en-GB"/>
        </w:rPr>
        <w:t>s</w:t>
      </w:r>
      <w:r w:rsidR="009C438E" w:rsidRPr="00257F7A">
        <w:rPr>
          <w:lang w:val="en-GB"/>
        </w:rPr>
        <w:t xml:space="preserve"> of this study should be considered </w:t>
      </w:r>
      <w:r w:rsidR="0045713E">
        <w:rPr>
          <w:lang w:val="en-GB"/>
        </w:rPr>
        <w:t xml:space="preserve">within the context </w:t>
      </w:r>
      <w:r w:rsidR="009C438E" w:rsidRPr="00257F7A">
        <w:rPr>
          <w:lang w:val="en-GB"/>
        </w:rPr>
        <w:t xml:space="preserve">of several limitations. First, </w:t>
      </w:r>
      <w:r w:rsidR="00FF35B6" w:rsidRPr="00257F7A">
        <w:rPr>
          <w:lang w:val="en-GB"/>
        </w:rPr>
        <w:t>the causal inference and directionality between the variables cannot be determined</w:t>
      </w:r>
      <w:r w:rsidR="00FF35B6">
        <w:rPr>
          <w:lang w:val="en-GB"/>
        </w:rPr>
        <w:t xml:space="preserve"> due to</w:t>
      </w:r>
      <w:r w:rsidR="00FF35B6" w:rsidRPr="00257F7A">
        <w:rPr>
          <w:lang w:val="en-GB"/>
        </w:rPr>
        <w:t xml:space="preserve"> </w:t>
      </w:r>
      <w:r w:rsidR="009C438E" w:rsidRPr="00257F7A">
        <w:rPr>
          <w:lang w:val="en-GB"/>
        </w:rPr>
        <w:t>the cross-sectional design of this study</w:t>
      </w:r>
      <w:r w:rsidR="00FF35B6">
        <w:rPr>
          <w:lang w:val="en-GB"/>
        </w:rPr>
        <w:t>.</w:t>
      </w:r>
      <w:r w:rsidR="009C438E" w:rsidRPr="00257F7A">
        <w:rPr>
          <w:lang w:val="en-GB"/>
        </w:rPr>
        <w:t xml:space="preserve"> </w:t>
      </w:r>
      <w:r w:rsidR="009F7E28" w:rsidRPr="009F7E28">
        <w:rPr>
          <w:highlight w:val="yellow"/>
          <w:lang w:val="en-GB"/>
        </w:rPr>
        <w:t xml:space="preserve">It is possible that other variables </w:t>
      </w:r>
      <w:r w:rsidR="0064748F">
        <w:rPr>
          <w:highlight w:val="yellow"/>
          <w:lang w:val="en-GB"/>
        </w:rPr>
        <w:t xml:space="preserve">may </w:t>
      </w:r>
      <w:r w:rsidR="009F7E28" w:rsidRPr="009F7E28">
        <w:rPr>
          <w:highlight w:val="yellow"/>
          <w:lang w:val="en-GB"/>
        </w:rPr>
        <w:t xml:space="preserve">account for some of the observed associations or that anxiety symptoms reciprocally contribute to positive college experiences and </w:t>
      </w:r>
      <w:r w:rsidR="00F75BD4">
        <w:rPr>
          <w:highlight w:val="yellow"/>
          <w:lang w:val="en-GB"/>
        </w:rPr>
        <w:t>resilience</w:t>
      </w:r>
      <w:r w:rsidR="009F7E28" w:rsidRPr="009F7E28">
        <w:rPr>
          <w:highlight w:val="yellow"/>
          <w:lang w:val="en-GB"/>
        </w:rPr>
        <w:t xml:space="preserve">. </w:t>
      </w:r>
      <w:r w:rsidR="00D9739F">
        <w:rPr>
          <w:highlight w:val="yellow"/>
          <w:lang w:val="en-GB"/>
        </w:rPr>
        <w:t>For example,</w:t>
      </w:r>
      <w:r w:rsidR="007E5044">
        <w:rPr>
          <w:highlight w:val="yellow"/>
          <w:lang w:val="en-GB"/>
        </w:rPr>
        <w:t xml:space="preserve"> personality traits such as extraversion have demonstrated a positive association with resilience among university students in the U.S. (Campbell-Sills et al., 2006) and China (Shen et al., 2021).</w:t>
      </w:r>
      <w:r w:rsidR="00D9739F">
        <w:rPr>
          <w:highlight w:val="yellow"/>
          <w:lang w:val="en-GB"/>
        </w:rPr>
        <w:t xml:space="preserve"> </w:t>
      </w:r>
      <w:r w:rsidR="007E5044">
        <w:rPr>
          <w:highlight w:val="yellow"/>
          <w:lang w:val="en-GB"/>
        </w:rPr>
        <w:t xml:space="preserve">Additionally, </w:t>
      </w:r>
      <w:r w:rsidR="00D9739F">
        <w:rPr>
          <w:highlight w:val="yellow"/>
          <w:lang w:val="en-GB"/>
        </w:rPr>
        <w:t>intolerance of uncertainty (</w:t>
      </w:r>
      <w:proofErr w:type="spellStart"/>
      <w:r w:rsidR="00B72AE8" w:rsidRPr="001D6E7D">
        <w:rPr>
          <w:color w:val="212121"/>
          <w:highlight w:val="yellow"/>
          <w:shd w:val="clear" w:color="auto" w:fill="FFFFFF"/>
        </w:rPr>
        <w:t>Nekić</w:t>
      </w:r>
      <w:proofErr w:type="spellEnd"/>
      <w:r w:rsidR="00B72AE8" w:rsidRPr="001D6E7D">
        <w:rPr>
          <w:color w:val="212121"/>
          <w:highlight w:val="yellow"/>
          <w:shd w:val="clear" w:color="auto" w:fill="FFFFFF"/>
        </w:rPr>
        <w:t xml:space="preserve"> &amp; </w:t>
      </w:r>
      <w:proofErr w:type="spellStart"/>
      <w:r w:rsidR="00B72AE8" w:rsidRPr="001D6E7D">
        <w:rPr>
          <w:color w:val="212121"/>
          <w:highlight w:val="yellow"/>
          <w:shd w:val="clear" w:color="auto" w:fill="FFFFFF"/>
        </w:rPr>
        <w:t>Mamić</w:t>
      </w:r>
      <w:proofErr w:type="spellEnd"/>
      <w:r w:rsidR="00D9739F">
        <w:rPr>
          <w:highlight w:val="yellow"/>
          <w:lang w:val="en-GB"/>
        </w:rPr>
        <w:t>, 2023),</w:t>
      </w:r>
      <w:r w:rsidR="001D6E7D">
        <w:rPr>
          <w:highlight w:val="yellow"/>
          <w:lang w:val="en-GB"/>
        </w:rPr>
        <w:t xml:space="preserve"> alcohol </w:t>
      </w:r>
      <w:r w:rsidR="001D6E7D" w:rsidRPr="001D6E7D">
        <w:rPr>
          <w:highlight w:val="yellow"/>
          <w:lang w:val="en-GB"/>
        </w:rPr>
        <w:t>consumption (</w:t>
      </w:r>
      <w:r w:rsidR="001D6E7D" w:rsidRPr="001D6E7D">
        <w:rPr>
          <w:color w:val="222222"/>
          <w:highlight w:val="yellow"/>
          <w:shd w:val="clear" w:color="auto" w:fill="FFFFFF"/>
        </w:rPr>
        <w:t>Ramón-</w:t>
      </w:r>
      <w:proofErr w:type="spellStart"/>
      <w:r w:rsidR="001D6E7D" w:rsidRPr="001D6E7D">
        <w:rPr>
          <w:color w:val="222222"/>
          <w:highlight w:val="yellow"/>
          <w:shd w:val="clear" w:color="auto" w:fill="FFFFFF"/>
        </w:rPr>
        <w:t>Arbués</w:t>
      </w:r>
      <w:proofErr w:type="spellEnd"/>
      <w:r w:rsidR="001D6E7D" w:rsidRPr="001D6E7D">
        <w:rPr>
          <w:highlight w:val="yellow"/>
          <w:lang w:val="en-GB"/>
        </w:rPr>
        <w:t xml:space="preserve"> et al., 2020</w:t>
      </w:r>
      <w:r w:rsidR="001D6E7D">
        <w:rPr>
          <w:highlight w:val="yellow"/>
          <w:lang w:val="en-GB"/>
        </w:rPr>
        <w:t>),</w:t>
      </w:r>
      <w:r w:rsidR="00AB7CD7">
        <w:rPr>
          <w:highlight w:val="yellow"/>
          <w:lang w:val="en-GB"/>
        </w:rPr>
        <w:t xml:space="preserve"> academic performance, pressure to succeed, finances, and family and friend relationships (</w:t>
      </w:r>
      <w:proofErr w:type="spellStart"/>
      <w:r w:rsidR="00AB7CD7">
        <w:rPr>
          <w:highlight w:val="yellow"/>
          <w:lang w:val="en-GB"/>
        </w:rPr>
        <w:t>Beiter</w:t>
      </w:r>
      <w:proofErr w:type="spellEnd"/>
      <w:r w:rsidR="00AB7CD7">
        <w:rPr>
          <w:highlight w:val="yellow"/>
          <w:lang w:val="en-GB"/>
        </w:rPr>
        <w:t xml:space="preserve"> et al., 2015)</w:t>
      </w:r>
      <w:r w:rsidR="00C54817">
        <w:rPr>
          <w:highlight w:val="yellow"/>
          <w:lang w:val="en-GB"/>
        </w:rPr>
        <w:t xml:space="preserve"> are all associated with anxiety and likely influence students’ college experiences and resilience</w:t>
      </w:r>
      <w:r w:rsidR="00AB7CD7">
        <w:rPr>
          <w:highlight w:val="yellow"/>
          <w:lang w:val="en-GB"/>
        </w:rPr>
        <w:t>.</w:t>
      </w:r>
      <w:r w:rsidR="003C12C5">
        <w:rPr>
          <w:highlight w:val="yellow"/>
          <w:lang w:val="en-GB"/>
        </w:rPr>
        <w:t xml:space="preserve"> </w:t>
      </w:r>
      <w:r w:rsidR="009F7E28" w:rsidRPr="009F7E28">
        <w:rPr>
          <w:highlight w:val="yellow"/>
          <w:lang w:val="en-GB"/>
        </w:rPr>
        <w:t xml:space="preserve">Future research </w:t>
      </w:r>
      <w:r w:rsidR="008C22F7">
        <w:rPr>
          <w:highlight w:val="yellow"/>
          <w:lang w:val="en-GB"/>
        </w:rPr>
        <w:t xml:space="preserve">using </w:t>
      </w:r>
      <w:r w:rsidR="009F7E28" w:rsidRPr="009F7E28">
        <w:rPr>
          <w:highlight w:val="yellow"/>
          <w:lang w:val="en-GB"/>
        </w:rPr>
        <w:t>prospective design</w:t>
      </w:r>
      <w:r w:rsidR="008C22F7">
        <w:rPr>
          <w:highlight w:val="yellow"/>
          <w:lang w:val="en-GB"/>
        </w:rPr>
        <w:t>s</w:t>
      </w:r>
      <w:r w:rsidR="009F7E28" w:rsidRPr="009F7E28">
        <w:rPr>
          <w:highlight w:val="yellow"/>
          <w:lang w:val="en-GB"/>
        </w:rPr>
        <w:t xml:space="preserve"> </w:t>
      </w:r>
      <w:r w:rsidR="00D747B4">
        <w:rPr>
          <w:highlight w:val="yellow"/>
          <w:lang w:val="en-GB"/>
        </w:rPr>
        <w:t xml:space="preserve">and examining additional possible determinants </w:t>
      </w:r>
      <w:r w:rsidR="008C22F7">
        <w:rPr>
          <w:highlight w:val="yellow"/>
          <w:lang w:val="en-GB"/>
        </w:rPr>
        <w:t>should</w:t>
      </w:r>
      <w:r w:rsidR="009F7E28" w:rsidRPr="009F7E28">
        <w:rPr>
          <w:highlight w:val="yellow"/>
          <w:lang w:val="en-GB"/>
        </w:rPr>
        <w:t xml:space="preserve"> further examine the nature of the predictive associations </w:t>
      </w:r>
      <w:r w:rsidR="00304EDB">
        <w:rPr>
          <w:highlight w:val="yellow"/>
          <w:lang w:val="en-GB"/>
        </w:rPr>
        <w:t>among</w:t>
      </w:r>
      <w:r w:rsidR="009F7E28" w:rsidRPr="009F7E28">
        <w:rPr>
          <w:highlight w:val="yellow"/>
          <w:lang w:val="en-GB"/>
        </w:rPr>
        <w:t xml:space="preserve"> </w:t>
      </w:r>
      <w:r w:rsidR="00B46F3D" w:rsidRPr="009F7E28">
        <w:rPr>
          <w:highlight w:val="yellow"/>
          <w:lang w:val="en-GB"/>
        </w:rPr>
        <w:t xml:space="preserve">resilience, </w:t>
      </w:r>
      <w:r w:rsidR="0045713E">
        <w:rPr>
          <w:highlight w:val="yellow"/>
          <w:lang w:val="en-GB"/>
        </w:rPr>
        <w:lastRenderedPageBreak/>
        <w:t xml:space="preserve">positive </w:t>
      </w:r>
      <w:r w:rsidR="000F2D40" w:rsidRPr="009F7E28">
        <w:rPr>
          <w:highlight w:val="yellow"/>
          <w:lang w:val="en-GB"/>
        </w:rPr>
        <w:t>college</w:t>
      </w:r>
      <w:r w:rsidR="00B46F3D" w:rsidRPr="009F7E28">
        <w:rPr>
          <w:highlight w:val="yellow"/>
          <w:lang w:val="en-GB"/>
        </w:rPr>
        <w:t xml:space="preserve"> experience</w:t>
      </w:r>
      <w:r w:rsidR="009F2F2F" w:rsidRPr="009F7E28">
        <w:rPr>
          <w:highlight w:val="yellow"/>
          <w:lang w:val="en-GB"/>
        </w:rPr>
        <w:t>s</w:t>
      </w:r>
      <w:r w:rsidR="009F7E28" w:rsidRPr="009F7E28">
        <w:rPr>
          <w:highlight w:val="yellow"/>
          <w:lang w:val="en-GB"/>
        </w:rPr>
        <w:t>, and anxiety</w:t>
      </w:r>
      <w:r w:rsidR="00B46F3D" w:rsidRPr="009F7E28">
        <w:rPr>
          <w:highlight w:val="yellow"/>
          <w:lang w:val="en-GB"/>
        </w:rPr>
        <w:t xml:space="preserve"> </w:t>
      </w:r>
      <w:r w:rsidR="009F7E28" w:rsidRPr="009F7E28">
        <w:rPr>
          <w:highlight w:val="yellow"/>
          <w:lang w:val="en-GB"/>
        </w:rPr>
        <w:t>across</w:t>
      </w:r>
      <w:r w:rsidR="00B46F3D" w:rsidRPr="009F7E28">
        <w:rPr>
          <w:highlight w:val="yellow"/>
          <w:lang w:val="en-GB"/>
        </w:rPr>
        <w:t xml:space="preserve"> time.</w:t>
      </w:r>
      <w:r w:rsidR="00B46F3D" w:rsidRPr="00257F7A">
        <w:rPr>
          <w:lang w:val="en-GB"/>
        </w:rPr>
        <w:t xml:space="preserve"> Second, </w:t>
      </w:r>
      <w:r w:rsidR="00FB318E">
        <w:rPr>
          <w:lang w:val="en-GB"/>
        </w:rPr>
        <w:t>p</w:t>
      </w:r>
      <w:r w:rsidR="00FB318E" w:rsidRPr="00257F7A">
        <w:rPr>
          <w:lang w:val="en-GB"/>
        </w:rPr>
        <w:t>articipants were attending a large</w:t>
      </w:r>
      <w:r w:rsidR="00FB318E">
        <w:rPr>
          <w:lang w:val="en-GB"/>
        </w:rPr>
        <w:t xml:space="preserve"> public</w:t>
      </w:r>
      <w:r w:rsidR="00FB318E" w:rsidRPr="00257F7A">
        <w:rPr>
          <w:lang w:val="en-GB"/>
        </w:rPr>
        <w:t xml:space="preserve"> university in the southwestern U.S</w:t>
      </w:r>
      <w:r w:rsidR="00FB318E">
        <w:rPr>
          <w:lang w:val="en-GB"/>
        </w:rPr>
        <w:t xml:space="preserve">., so </w:t>
      </w:r>
      <w:r w:rsidRPr="00257F7A">
        <w:rPr>
          <w:lang w:val="en-GB"/>
        </w:rPr>
        <w:t xml:space="preserve">the study findings may not </w:t>
      </w:r>
      <w:r w:rsidR="00A06689" w:rsidRPr="00257F7A">
        <w:rPr>
          <w:lang w:val="en-GB"/>
        </w:rPr>
        <w:t>generalize</w:t>
      </w:r>
      <w:r w:rsidRPr="00257F7A">
        <w:rPr>
          <w:lang w:val="en-GB"/>
        </w:rPr>
        <w:t xml:space="preserve"> to </w:t>
      </w:r>
      <w:r w:rsidR="00A06689" w:rsidRPr="00257F7A">
        <w:rPr>
          <w:lang w:val="en-GB"/>
        </w:rPr>
        <w:t xml:space="preserve">underrepresented college students </w:t>
      </w:r>
      <w:r w:rsidR="00FB318E" w:rsidRPr="00257F7A">
        <w:rPr>
          <w:lang w:val="en-GB"/>
        </w:rPr>
        <w:t xml:space="preserve">from other </w:t>
      </w:r>
      <w:r w:rsidR="00FB318E">
        <w:rPr>
          <w:lang w:val="en-GB"/>
        </w:rPr>
        <w:t xml:space="preserve">types of </w:t>
      </w:r>
      <w:r w:rsidR="00FB318E" w:rsidRPr="00257F7A">
        <w:rPr>
          <w:lang w:val="en-GB"/>
        </w:rPr>
        <w:t>institutions or locations</w:t>
      </w:r>
      <w:r w:rsidR="005B79D7" w:rsidRPr="00257F7A">
        <w:rPr>
          <w:lang w:val="en-GB"/>
        </w:rPr>
        <w:t xml:space="preserve">. </w:t>
      </w:r>
      <w:r w:rsidR="000146D1" w:rsidRPr="000146D1">
        <w:rPr>
          <w:highlight w:val="yellow"/>
          <w:lang w:val="en-GB"/>
        </w:rPr>
        <w:t>Third, we failed to ask about sexual minority status among our sample of underrepresented students. Given that sexual minority college students are disproportionally affected by poor mental health outcomes, it is critical that future studies inquire about sexual minority status when focused on mental health in the college population</w:t>
      </w:r>
      <w:r w:rsidR="000146D1" w:rsidRPr="00132CE6">
        <w:rPr>
          <w:highlight w:val="yellow"/>
          <w:lang w:val="en-GB"/>
        </w:rPr>
        <w:t xml:space="preserve">. </w:t>
      </w:r>
      <w:r w:rsidR="006426C8" w:rsidRPr="00132CE6">
        <w:rPr>
          <w:highlight w:val="yellow"/>
          <w:lang w:val="en-GB"/>
        </w:rPr>
        <w:t xml:space="preserve">We did, however, provide information </w:t>
      </w:r>
      <w:r w:rsidR="00536A25">
        <w:rPr>
          <w:highlight w:val="yellow"/>
          <w:lang w:val="en-GB"/>
        </w:rPr>
        <w:t>about</w:t>
      </w:r>
      <w:r w:rsidR="00536A25" w:rsidRPr="00132CE6">
        <w:rPr>
          <w:highlight w:val="yellow"/>
          <w:lang w:val="en-GB"/>
        </w:rPr>
        <w:t xml:space="preserve"> the Gender and Sexuality </w:t>
      </w:r>
      <w:proofErr w:type="spellStart"/>
      <w:r w:rsidR="00536A25" w:rsidRPr="00132CE6">
        <w:rPr>
          <w:highlight w:val="yellow"/>
          <w:lang w:val="en-GB"/>
        </w:rPr>
        <w:t>Center</w:t>
      </w:r>
      <w:proofErr w:type="spellEnd"/>
      <w:r w:rsidR="00536A25" w:rsidRPr="00132CE6">
        <w:rPr>
          <w:highlight w:val="yellow"/>
          <w:lang w:val="en-GB"/>
        </w:rPr>
        <w:t xml:space="preserve"> (GSC) on campus </w:t>
      </w:r>
      <w:r w:rsidR="006426C8" w:rsidRPr="00132CE6">
        <w:rPr>
          <w:highlight w:val="yellow"/>
          <w:lang w:val="en-GB"/>
        </w:rPr>
        <w:t>in students’ confidential personal feedback profile</w:t>
      </w:r>
      <w:r w:rsidR="00132CE6" w:rsidRPr="00132CE6">
        <w:rPr>
          <w:highlight w:val="yellow"/>
          <w:lang w:val="en-GB"/>
        </w:rPr>
        <w:t xml:space="preserve">. The GSC provides opportunities for all students to explore issues of gender and sexuality and promotes learning around issues of gender and sexuality. </w:t>
      </w:r>
      <w:r w:rsidR="00603295" w:rsidRPr="00132CE6">
        <w:rPr>
          <w:highlight w:val="yellow"/>
          <w:lang w:val="en-GB"/>
        </w:rPr>
        <w:t xml:space="preserve">Finally, </w:t>
      </w:r>
      <w:r w:rsidR="000146D1" w:rsidRPr="00132CE6">
        <w:rPr>
          <w:highlight w:val="yellow"/>
          <w:lang w:val="en-GB"/>
        </w:rPr>
        <w:t>the us</w:t>
      </w:r>
      <w:r w:rsidR="000146D1" w:rsidRPr="005D10C3">
        <w:rPr>
          <w:highlight w:val="yellow"/>
          <w:lang w:val="en-GB"/>
        </w:rPr>
        <w:t xml:space="preserve">e of </w:t>
      </w:r>
      <w:r w:rsidR="00603295" w:rsidRPr="005D10C3">
        <w:rPr>
          <w:highlight w:val="yellow"/>
          <w:lang w:val="en-GB"/>
        </w:rPr>
        <w:t>self-reported</w:t>
      </w:r>
      <w:r w:rsidR="000146D1" w:rsidRPr="005D10C3">
        <w:rPr>
          <w:highlight w:val="yellow"/>
          <w:lang w:val="en-GB"/>
        </w:rPr>
        <w:t xml:space="preserve"> survey data has inherent limitations, such as the potential for inaccurate or untruthful responses</w:t>
      </w:r>
      <w:r w:rsidR="00512510" w:rsidRPr="005D10C3">
        <w:rPr>
          <w:highlight w:val="yellow"/>
          <w:lang w:val="en-GB"/>
        </w:rPr>
        <w:t>.</w:t>
      </w:r>
      <w:r w:rsidR="00512510" w:rsidRPr="00257F7A">
        <w:rPr>
          <w:lang w:val="en-GB"/>
        </w:rPr>
        <w:t xml:space="preserve"> </w:t>
      </w:r>
    </w:p>
    <w:p w14:paraId="09338618" w14:textId="3E739656" w:rsidR="00634B1F" w:rsidRPr="006F455F" w:rsidRDefault="00634B1F" w:rsidP="00634B1F">
      <w:pPr>
        <w:spacing w:line="480" w:lineRule="auto"/>
        <w:jc w:val="center"/>
        <w:rPr>
          <w:rFonts w:eastAsiaTheme="minorEastAsia"/>
          <w:lang w:val="en-GB" w:eastAsia="ko-KR"/>
        </w:rPr>
      </w:pPr>
      <w:r>
        <w:rPr>
          <w:b/>
          <w:bCs/>
          <w:lang w:val="en-GB"/>
        </w:rPr>
        <w:t xml:space="preserve">Implications for Health </w:t>
      </w:r>
      <w:proofErr w:type="spellStart"/>
      <w:r>
        <w:rPr>
          <w:b/>
          <w:bCs/>
          <w:lang w:val="en-GB"/>
        </w:rPr>
        <w:t>Behavior</w:t>
      </w:r>
      <w:proofErr w:type="spellEnd"/>
      <w:r>
        <w:rPr>
          <w:b/>
          <w:bCs/>
          <w:lang w:val="en-GB"/>
        </w:rPr>
        <w:t xml:space="preserve"> Research</w:t>
      </w:r>
    </w:p>
    <w:p w14:paraId="390772B0" w14:textId="41917DA1" w:rsidR="00977985" w:rsidRDefault="004432C1" w:rsidP="00977985">
      <w:pPr>
        <w:spacing w:line="480" w:lineRule="auto"/>
        <w:ind w:firstLine="720"/>
      </w:pPr>
      <w:r>
        <w:rPr>
          <w:lang w:val="en-GB"/>
        </w:rPr>
        <w:t>Although</w:t>
      </w:r>
      <w:r w:rsidR="00724134">
        <w:rPr>
          <w:lang w:val="en-GB"/>
        </w:rPr>
        <w:t xml:space="preserve"> more</w:t>
      </w:r>
      <w:r>
        <w:rPr>
          <w:lang w:val="en-GB"/>
        </w:rPr>
        <w:t xml:space="preserve"> positive campus experiences moderated the association between resilience and </w:t>
      </w:r>
      <w:r w:rsidR="00724134">
        <w:rPr>
          <w:lang w:val="en-GB"/>
        </w:rPr>
        <w:t>anxiety symptoms</w:t>
      </w:r>
      <w:r>
        <w:rPr>
          <w:lang w:val="en-GB"/>
        </w:rPr>
        <w:t xml:space="preserve">, future research </w:t>
      </w:r>
      <w:r w:rsidRPr="00A04B16">
        <w:rPr>
          <w:lang w:val="en-GB"/>
        </w:rPr>
        <w:t xml:space="preserve">should consider </w:t>
      </w:r>
      <w:r w:rsidR="00F7742A" w:rsidRPr="00A04B16">
        <w:rPr>
          <w:lang w:val="en-GB"/>
        </w:rPr>
        <w:t>additional</w:t>
      </w:r>
      <w:r w:rsidRPr="00A04B16">
        <w:rPr>
          <w:lang w:val="en-GB"/>
        </w:rPr>
        <w:t xml:space="preserve"> </w:t>
      </w:r>
      <w:r w:rsidR="00724134" w:rsidRPr="00A04B16">
        <w:rPr>
          <w:lang w:val="en-GB"/>
        </w:rPr>
        <w:t xml:space="preserve">moderators </w:t>
      </w:r>
      <w:r w:rsidRPr="00A04B16">
        <w:rPr>
          <w:lang w:val="en-GB"/>
        </w:rPr>
        <w:t xml:space="preserve">that </w:t>
      </w:r>
      <w:r w:rsidR="00E531ED" w:rsidRPr="00A04B16">
        <w:rPr>
          <w:lang w:val="en-GB"/>
        </w:rPr>
        <w:t>influence the association between resilience and anxiety</w:t>
      </w:r>
      <w:r w:rsidRPr="00A04B16">
        <w:rPr>
          <w:lang w:val="en-GB"/>
        </w:rPr>
        <w:t xml:space="preserve">. For example, </w:t>
      </w:r>
      <w:r w:rsidR="00A77C3D" w:rsidRPr="00A04B16">
        <w:rPr>
          <w:lang w:val="en-GB"/>
        </w:rPr>
        <w:t>varying</w:t>
      </w:r>
      <w:r w:rsidR="00A77C3D">
        <w:rPr>
          <w:lang w:val="en-GB"/>
        </w:rPr>
        <w:t xml:space="preserve"> levels of </w:t>
      </w:r>
      <w:r w:rsidR="00A345AC">
        <w:rPr>
          <w:lang w:val="en-GB"/>
        </w:rPr>
        <w:t xml:space="preserve">family </w:t>
      </w:r>
      <w:r w:rsidR="00E531ED">
        <w:rPr>
          <w:lang w:val="en-GB"/>
        </w:rPr>
        <w:t>support</w:t>
      </w:r>
      <w:r w:rsidR="008361C8">
        <w:rPr>
          <w:lang w:val="en-GB"/>
        </w:rPr>
        <w:t>,</w:t>
      </w:r>
      <w:r w:rsidR="00E531ED">
        <w:rPr>
          <w:lang w:val="en-GB"/>
        </w:rPr>
        <w:t xml:space="preserve"> </w:t>
      </w:r>
      <w:r w:rsidR="00F04ED9">
        <w:rPr>
          <w:lang w:val="en-GB"/>
        </w:rPr>
        <w:t xml:space="preserve">academic and social </w:t>
      </w:r>
      <w:r w:rsidR="00484212">
        <w:rPr>
          <w:lang w:val="en-GB"/>
        </w:rPr>
        <w:t>integration</w:t>
      </w:r>
      <w:r w:rsidR="004F6A06">
        <w:rPr>
          <w:lang w:val="en-GB"/>
        </w:rPr>
        <w:t>,</w:t>
      </w:r>
      <w:r w:rsidR="00484212">
        <w:rPr>
          <w:lang w:val="en-GB"/>
        </w:rPr>
        <w:t xml:space="preserve"> </w:t>
      </w:r>
      <w:r w:rsidR="00724134">
        <w:rPr>
          <w:lang w:val="en-GB"/>
        </w:rPr>
        <w:t xml:space="preserve">and </w:t>
      </w:r>
      <w:r w:rsidR="00484212">
        <w:rPr>
          <w:lang w:val="en-GB"/>
        </w:rPr>
        <w:t xml:space="preserve">college </w:t>
      </w:r>
      <w:r w:rsidR="002C03FE">
        <w:rPr>
          <w:lang w:val="en-GB"/>
        </w:rPr>
        <w:t xml:space="preserve">readiness and </w:t>
      </w:r>
      <w:r w:rsidR="00484212">
        <w:rPr>
          <w:lang w:val="en-GB"/>
        </w:rPr>
        <w:t>assimilation</w:t>
      </w:r>
      <w:r w:rsidR="00CC4771">
        <w:rPr>
          <w:lang w:val="en-GB"/>
        </w:rPr>
        <w:t xml:space="preserve"> all have the capacity to influence mental </w:t>
      </w:r>
      <w:r w:rsidR="00CC4771" w:rsidRPr="00CC4771">
        <w:rPr>
          <w:lang w:val="en-GB"/>
        </w:rPr>
        <w:t xml:space="preserve">health. Further, </w:t>
      </w:r>
      <w:r w:rsidR="00CC4771" w:rsidRPr="00CC4771">
        <w:t>i</w:t>
      </w:r>
      <w:r w:rsidR="00901FB8" w:rsidRPr="00CC4771">
        <w:t xml:space="preserve">n addition to counseling programs, a proactive model that promotes heightened resilience, campus support, and experiential learning as part of the campus </w:t>
      </w:r>
      <w:r w:rsidR="00014821">
        <w:t xml:space="preserve">routine and </w:t>
      </w:r>
      <w:r w:rsidR="00901FB8" w:rsidRPr="00CC4771">
        <w:t xml:space="preserve">culture </w:t>
      </w:r>
      <w:r w:rsidR="004839F1" w:rsidRPr="00CC4771">
        <w:t>may</w:t>
      </w:r>
      <w:r w:rsidR="00901FB8" w:rsidRPr="00CC4771">
        <w:t xml:space="preserve"> help institutions address the high prevalence of mental health concerns</w:t>
      </w:r>
      <w:r w:rsidR="00A77C3D">
        <w:t xml:space="preserve"> more effectively</w:t>
      </w:r>
      <w:r w:rsidR="00901FB8" w:rsidRPr="00CC4771">
        <w:t xml:space="preserve">. Future research should </w:t>
      </w:r>
      <w:r w:rsidR="00CC4771" w:rsidRPr="00CC4771">
        <w:t xml:space="preserve">additionally </w:t>
      </w:r>
      <w:r w:rsidR="00901FB8" w:rsidRPr="00CC4771">
        <w:t xml:space="preserve">explore the longitudinal effects of campus resources and educational programs designed to enhance resilience and positive college experiences on the mental health of underrepresented college students. </w:t>
      </w:r>
    </w:p>
    <w:p w14:paraId="14A68A3B" w14:textId="5C73DA18" w:rsidR="008639F8" w:rsidRPr="00977985" w:rsidRDefault="0074187A" w:rsidP="00977985">
      <w:pPr>
        <w:spacing w:line="480" w:lineRule="auto"/>
        <w:ind w:firstLine="720"/>
        <w:rPr>
          <w:lang w:val="en-GB"/>
        </w:rPr>
      </w:pPr>
      <w:r>
        <w:rPr>
          <w:lang w:val="en-GB"/>
        </w:rPr>
        <w:lastRenderedPageBreak/>
        <w:t>A</w:t>
      </w:r>
      <w:r w:rsidR="00977985">
        <w:rPr>
          <w:lang w:val="en-GB"/>
        </w:rPr>
        <w:t xml:space="preserve">lthough numerous </w:t>
      </w:r>
      <w:r>
        <w:rPr>
          <w:lang w:val="en-GB"/>
        </w:rPr>
        <w:t>mentoring networks</w:t>
      </w:r>
      <w:r w:rsidR="00977985">
        <w:rPr>
          <w:lang w:val="en-GB"/>
        </w:rPr>
        <w:t xml:space="preserve"> are available to support the success of underrepresented students, </w:t>
      </w:r>
      <w:r w:rsidR="00004B20">
        <w:rPr>
          <w:lang w:val="en-GB"/>
        </w:rPr>
        <w:t>advocates have rightly</w:t>
      </w:r>
      <w:r>
        <w:rPr>
          <w:lang w:val="en-GB"/>
        </w:rPr>
        <w:t xml:space="preserve"> cautioned that mentoring is </w:t>
      </w:r>
      <w:r w:rsidR="00004B20">
        <w:rPr>
          <w:lang w:val="en-GB"/>
        </w:rPr>
        <w:t xml:space="preserve">not </w:t>
      </w:r>
      <w:r>
        <w:rPr>
          <w:lang w:val="en-GB"/>
        </w:rPr>
        <w:t xml:space="preserve">a panacea, and </w:t>
      </w:r>
      <w:r w:rsidR="00A220DF">
        <w:rPr>
          <w:lang w:val="en-GB"/>
        </w:rPr>
        <w:t>by itself</w:t>
      </w:r>
      <w:r w:rsidR="00004B20">
        <w:rPr>
          <w:lang w:val="en-GB"/>
        </w:rPr>
        <w:t xml:space="preserve"> </w:t>
      </w:r>
      <w:r w:rsidR="00A220DF">
        <w:rPr>
          <w:lang w:val="en-GB"/>
        </w:rPr>
        <w:t>“</w:t>
      </w:r>
      <w:r w:rsidR="00004B20">
        <w:rPr>
          <w:lang w:val="en-GB"/>
        </w:rPr>
        <w:t>cannot surmount structural inequality entrenched in educational and social institutions” (Hagler et al., 2021, p. 24).</w:t>
      </w:r>
      <w:r w:rsidR="00A3752B">
        <w:rPr>
          <w:lang w:val="en-GB"/>
        </w:rPr>
        <w:t xml:space="preserve"> </w:t>
      </w:r>
      <w:r w:rsidR="00A3752B">
        <w:rPr>
          <w:highlight w:val="yellow"/>
        </w:rPr>
        <w:t>Structural changes are needed that require institutions and faculty to implement evidence-based solutions that are inclusive for all students and yield positive psychological outcomes (</w:t>
      </w:r>
      <w:proofErr w:type="spellStart"/>
      <w:r w:rsidR="00A3752B">
        <w:rPr>
          <w:highlight w:val="yellow"/>
        </w:rPr>
        <w:t>Thiem</w:t>
      </w:r>
      <w:proofErr w:type="spellEnd"/>
      <w:r w:rsidR="00A3752B">
        <w:rPr>
          <w:highlight w:val="yellow"/>
        </w:rPr>
        <w:t xml:space="preserve"> &amp; Dasgupta, 2022).</w:t>
      </w:r>
      <w:r w:rsidR="00A3752B">
        <w:t xml:space="preserve"> </w:t>
      </w:r>
      <w:r w:rsidR="00014821">
        <w:rPr>
          <w:lang w:val="en-GB"/>
        </w:rPr>
        <w:t>Further</w:t>
      </w:r>
      <w:r>
        <w:rPr>
          <w:lang w:val="en-GB"/>
        </w:rPr>
        <w:t xml:space="preserve">, </w:t>
      </w:r>
      <w:r w:rsidR="00977985">
        <w:rPr>
          <w:lang w:val="en-GB"/>
        </w:rPr>
        <w:t>few studies have employed a multi-dimensional approach with interventions across multiple levels of the ecological framework (</w:t>
      </w:r>
      <w:proofErr w:type="spellStart"/>
      <w:r w:rsidR="00977985">
        <w:rPr>
          <w:lang w:val="en-GB"/>
        </w:rPr>
        <w:t>Kezar</w:t>
      </w:r>
      <w:proofErr w:type="spellEnd"/>
      <w:r w:rsidR="00977985">
        <w:rPr>
          <w:lang w:val="en-GB"/>
        </w:rPr>
        <w:t xml:space="preserve"> &amp; Kitchen, 2020). I</w:t>
      </w:r>
      <w:r w:rsidR="008639F8">
        <w:rPr>
          <w:lang w:val="en-GB"/>
        </w:rPr>
        <w:t xml:space="preserve">n addition to individual and interpersonal level interventions to build student resilience and increase experiential learning, activities at the community and institutional levels </w:t>
      </w:r>
      <w:r w:rsidR="008D7178">
        <w:rPr>
          <w:lang w:val="en-GB"/>
        </w:rPr>
        <w:t>to</w:t>
      </w:r>
      <w:r w:rsidR="008639F8">
        <w:rPr>
          <w:lang w:val="en-GB"/>
        </w:rPr>
        <w:t xml:space="preserve"> build relationships in the research laboratory, provid</w:t>
      </w:r>
      <w:r w:rsidR="008D7178">
        <w:rPr>
          <w:lang w:val="en-GB"/>
        </w:rPr>
        <w:t>e</w:t>
      </w:r>
      <w:r w:rsidR="008639F8">
        <w:rPr>
          <w:lang w:val="en-GB"/>
        </w:rPr>
        <w:t xml:space="preserve"> educational and research opportunities in the community, and design required curricula that fosters experiential learning through multilevel interventions would further strengthen the positive impact of resilience on mental health. </w:t>
      </w:r>
    </w:p>
    <w:p w14:paraId="5923711D" w14:textId="23B76154" w:rsidR="005843FC" w:rsidRDefault="005843FC" w:rsidP="005843FC">
      <w:pPr>
        <w:spacing w:line="480" w:lineRule="auto"/>
        <w:jc w:val="center"/>
        <w:rPr>
          <w:b/>
          <w:bCs/>
          <w:lang w:val="en-GB"/>
        </w:rPr>
      </w:pPr>
      <w:r>
        <w:rPr>
          <w:b/>
          <w:bCs/>
          <w:lang w:val="en-GB"/>
        </w:rPr>
        <w:t>Discussion Question</w:t>
      </w:r>
    </w:p>
    <w:p w14:paraId="0873C68A" w14:textId="752B9658" w:rsidR="005843FC" w:rsidRDefault="0015024F" w:rsidP="008B4B83">
      <w:pPr>
        <w:spacing w:line="480" w:lineRule="auto"/>
        <w:ind w:firstLine="720"/>
        <w:rPr>
          <w:lang w:val="en-GB"/>
        </w:rPr>
      </w:pPr>
      <w:r w:rsidRPr="0015024F">
        <w:rPr>
          <w:lang w:val="en-GB"/>
        </w:rPr>
        <w:t xml:space="preserve">Campus resources </w:t>
      </w:r>
      <w:r>
        <w:rPr>
          <w:lang w:val="en-GB"/>
        </w:rPr>
        <w:t>play a</w:t>
      </w:r>
      <w:r w:rsidR="00D973FE">
        <w:rPr>
          <w:lang w:val="en-GB"/>
        </w:rPr>
        <w:t xml:space="preserve">n integral </w:t>
      </w:r>
      <w:r>
        <w:rPr>
          <w:lang w:val="en-GB"/>
        </w:rPr>
        <w:t xml:space="preserve">role in </w:t>
      </w:r>
      <w:r w:rsidR="00F73067">
        <w:rPr>
          <w:lang w:val="en-GB"/>
        </w:rPr>
        <w:t xml:space="preserve">underrepresented students’ </w:t>
      </w:r>
      <w:r w:rsidR="00A345AC">
        <w:rPr>
          <w:lang w:val="en-GB"/>
        </w:rPr>
        <w:t>success</w:t>
      </w:r>
      <w:r w:rsidR="0021001F">
        <w:rPr>
          <w:lang w:val="en-GB"/>
        </w:rPr>
        <w:t xml:space="preserve"> and mental health</w:t>
      </w:r>
      <w:r w:rsidR="00A345AC">
        <w:rPr>
          <w:lang w:val="en-GB"/>
        </w:rPr>
        <w:t xml:space="preserve">. </w:t>
      </w:r>
      <w:r w:rsidR="00484212">
        <w:rPr>
          <w:lang w:val="en-GB"/>
        </w:rPr>
        <w:t xml:space="preserve">What are some </w:t>
      </w:r>
      <w:r w:rsidR="00C41F48">
        <w:rPr>
          <w:lang w:val="en-GB"/>
        </w:rPr>
        <w:t>strategies</w:t>
      </w:r>
      <w:r w:rsidR="00B45AD7">
        <w:rPr>
          <w:lang w:val="en-GB"/>
        </w:rPr>
        <w:t xml:space="preserve"> </w:t>
      </w:r>
      <w:r w:rsidR="00C41F48">
        <w:rPr>
          <w:lang w:val="en-GB"/>
        </w:rPr>
        <w:t xml:space="preserve">to </w:t>
      </w:r>
      <w:r w:rsidR="0021001F">
        <w:rPr>
          <w:lang w:val="en-GB"/>
        </w:rPr>
        <w:t xml:space="preserve">enhance </w:t>
      </w:r>
      <w:r w:rsidR="0021001F">
        <w:t xml:space="preserve">positive </w:t>
      </w:r>
      <w:r w:rsidR="0021001F" w:rsidRPr="00257F7A">
        <w:t>college experiences of institutional support and experiential learning</w:t>
      </w:r>
      <w:r w:rsidR="0021001F">
        <w:rPr>
          <w:lang w:val="en-GB"/>
        </w:rPr>
        <w:t xml:space="preserve"> </w:t>
      </w:r>
      <w:r w:rsidR="00D973FE">
        <w:rPr>
          <w:lang w:val="en-GB"/>
        </w:rPr>
        <w:t xml:space="preserve">tailored to </w:t>
      </w:r>
      <w:r w:rsidR="00A21499">
        <w:rPr>
          <w:lang w:val="en-GB"/>
        </w:rPr>
        <w:t xml:space="preserve">the </w:t>
      </w:r>
      <w:r w:rsidR="00500D24">
        <w:rPr>
          <w:lang w:val="en-GB"/>
        </w:rPr>
        <w:t xml:space="preserve">specific </w:t>
      </w:r>
      <w:r w:rsidR="00A21499">
        <w:rPr>
          <w:lang w:val="en-GB"/>
        </w:rPr>
        <w:t xml:space="preserve">needs of </w:t>
      </w:r>
      <w:r w:rsidR="00D973FE">
        <w:rPr>
          <w:lang w:val="en-GB"/>
        </w:rPr>
        <w:t>under</w:t>
      </w:r>
      <w:r w:rsidR="00B45AD7">
        <w:rPr>
          <w:lang w:val="en-GB"/>
        </w:rPr>
        <w:t>represented students</w:t>
      </w:r>
      <w:r w:rsidR="00C41F48">
        <w:rPr>
          <w:lang w:val="en-GB"/>
        </w:rPr>
        <w:t>?</w:t>
      </w:r>
      <w:r w:rsidR="00192223">
        <w:rPr>
          <w:lang w:val="en-GB"/>
        </w:rPr>
        <w:t xml:space="preserve"> </w:t>
      </w:r>
      <w:r w:rsidR="00CC4771">
        <w:rPr>
          <w:lang w:val="en-GB"/>
        </w:rPr>
        <w:t>Additionally, what are</w:t>
      </w:r>
      <w:r w:rsidR="0021001F">
        <w:rPr>
          <w:lang w:val="en-GB"/>
        </w:rPr>
        <w:t xml:space="preserve"> the</w:t>
      </w:r>
      <w:r w:rsidR="00CC4771">
        <w:rPr>
          <w:lang w:val="en-GB"/>
        </w:rPr>
        <w:t xml:space="preserve"> barriers</w:t>
      </w:r>
      <w:r w:rsidR="0021001F">
        <w:rPr>
          <w:lang w:val="en-GB"/>
        </w:rPr>
        <w:t xml:space="preserve"> to providing these resources, </w:t>
      </w:r>
      <w:r w:rsidR="00500D24">
        <w:rPr>
          <w:lang w:val="en-GB"/>
        </w:rPr>
        <w:t>and</w:t>
      </w:r>
      <w:r w:rsidR="0021001F">
        <w:rPr>
          <w:lang w:val="en-GB"/>
        </w:rPr>
        <w:t xml:space="preserve"> strategies to overcome these barriers</w:t>
      </w:r>
      <w:r w:rsidR="00CC4771">
        <w:rPr>
          <w:lang w:val="en-GB"/>
        </w:rPr>
        <w:t>?</w:t>
      </w:r>
    </w:p>
    <w:p w14:paraId="495BD553" w14:textId="058D6727" w:rsidR="00BA312F" w:rsidRDefault="00BA312F" w:rsidP="008B4B83">
      <w:pPr>
        <w:spacing w:line="480" w:lineRule="auto"/>
        <w:ind w:firstLine="720"/>
        <w:rPr>
          <w:lang w:val="en-GB"/>
        </w:rPr>
      </w:pPr>
    </w:p>
    <w:p w14:paraId="1CBAF898" w14:textId="4BDFA640" w:rsidR="00A04B16" w:rsidRDefault="00A04B16" w:rsidP="008B4B83">
      <w:pPr>
        <w:spacing w:line="480" w:lineRule="auto"/>
        <w:ind w:firstLine="720"/>
        <w:rPr>
          <w:lang w:val="en-GB"/>
        </w:rPr>
      </w:pPr>
    </w:p>
    <w:p w14:paraId="5DF9C695" w14:textId="77777777" w:rsidR="00A04B16" w:rsidRDefault="00A04B16" w:rsidP="008B4B83">
      <w:pPr>
        <w:spacing w:line="480" w:lineRule="auto"/>
        <w:ind w:firstLine="720"/>
        <w:rPr>
          <w:lang w:val="en-GB"/>
        </w:rPr>
      </w:pPr>
    </w:p>
    <w:p w14:paraId="03435315" w14:textId="476508E9" w:rsidR="00BA312F" w:rsidRDefault="00BA312F" w:rsidP="008B4B83">
      <w:pPr>
        <w:spacing w:line="480" w:lineRule="auto"/>
        <w:ind w:firstLine="720"/>
        <w:rPr>
          <w:lang w:val="en-GB"/>
        </w:rPr>
      </w:pPr>
    </w:p>
    <w:p w14:paraId="755EE580" w14:textId="1443AA9F" w:rsidR="00053236" w:rsidRPr="00257F7A" w:rsidRDefault="00064B3D" w:rsidP="00064B3D">
      <w:pPr>
        <w:spacing w:line="276" w:lineRule="auto"/>
        <w:jc w:val="center"/>
      </w:pPr>
      <w:r>
        <w:rPr>
          <w:b/>
          <w:bCs/>
          <w:lang w:val="en-GB"/>
        </w:rPr>
        <w:lastRenderedPageBreak/>
        <w:t>References</w:t>
      </w:r>
    </w:p>
    <w:p w14:paraId="0285847C" w14:textId="5A74A0F8"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Aiken, L. S., &amp; West, S. G. (1991). Multiple regression: Testing and interpreting interactions.</w:t>
      </w:r>
      <w:r w:rsidR="006D50C3">
        <w:rPr>
          <w:color w:val="000000"/>
        </w:rPr>
        <w:t xml:space="preserve"> </w:t>
      </w:r>
      <w:r w:rsidRPr="00257F7A">
        <w:rPr>
          <w:color w:val="000000"/>
        </w:rPr>
        <w:t>Newbury Park, CA: Sage.</w:t>
      </w:r>
    </w:p>
    <w:p w14:paraId="23233A77" w14:textId="77777777" w:rsidR="00D42FC0" w:rsidRPr="00257F7A" w:rsidRDefault="00D42FC0" w:rsidP="006D50C3">
      <w:pPr>
        <w:pStyle w:val="NormalWeb"/>
        <w:spacing w:before="0" w:beforeAutospacing="0" w:after="0" w:afterAutospacing="0"/>
        <w:ind w:left="360" w:hanging="360"/>
        <w:rPr>
          <w:color w:val="000000"/>
        </w:rPr>
      </w:pPr>
    </w:p>
    <w:p w14:paraId="174898F9" w14:textId="2A26319E" w:rsidR="008E599B" w:rsidRDefault="008E599B" w:rsidP="006D50C3">
      <w:pPr>
        <w:pStyle w:val="Bibliography"/>
        <w:tabs>
          <w:tab w:val="left" w:pos="360"/>
        </w:tabs>
        <w:ind w:left="360" w:hanging="360"/>
      </w:pPr>
      <w:r w:rsidRPr="00257F7A">
        <w:t xml:space="preserve">Albright, J. N., &amp; Hurd, N. M. (2020). Marginalized identities, Trump‐related distress, and the mental health of underrepresented college students. </w:t>
      </w:r>
      <w:r w:rsidRPr="00257F7A">
        <w:rPr>
          <w:i/>
          <w:iCs/>
        </w:rPr>
        <w:t>American Journal of Community</w:t>
      </w:r>
      <w:r w:rsidR="006D50C3">
        <w:rPr>
          <w:i/>
          <w:iCs/>
        </w:rPr>
        <w:t xml:space="preserve"> </w:t>
      </w:r>
      <w:r w:rsidRPr="00257F7A">
        <w:rPr>
          <w:i/>
          <w:iCs/>
        </w:rPr>
        <w:t>Psychology</w:t>
      </w:r>
      <w:r w:rsidRPr="00257F7A">
        <w:t xml:space="preserve">, </w:t>
      </w:r>
      <w:r w:rsidRPr="00257F7A">
        <w:rPr>
          <w:i/>
          <w:iCs/>
        </w:rPr>
        <w:t>65</w:t>
      </w:r>
      <w:r w:rsidRPr="00257F7A">
        <w:t xml:space="preserve">(3–4), 381–396. </w:t>
      </w:r>
      <w:hyperlink r:id="rId16" w:history="1">
        <w:r w:rsidR="00D42FC0" w:rsidRPr="00126DCE">
          <w:rPr>
            <w:rStyle w:val="Hyperlink"/>
          </w:rPr>
          <w:t>https://doi.org/10.1002/ajcp.12407</w:t>
        </w:r>
      </w:hyperlink>
    </w:p>
    <w:p w14:paraId="02858330" w14:textId="77777777" w:rsidR="00D42FC0" w:rsidRPr="00D42FC0" w:rsidRDefault="00D42FC0" w:rsidP="006D50C3">
      <w:pPr>
        <w:ind w:left="360" w:hanging="360"/>
      </w:pPr>
    </w:p>
    <w:p w14:paraId="0107CE78" w14:textId="409EC855" w:rsidR="00E91EA2" w:rsidRDefault="00E91EA2" w:rsidP="006D50C3">
      <w:pPr>
        <w:pStyle w:val="NormalWeb"/>
        <w:tabs>
          <w:tab w:val="left" w:pos="360"/>
        </w:tabs>
        <w:spacing w:before="0" w:beforeAutospacing="0" w:after="0" w:afterAutospacing="0"/>
        <w:ind w:left="360" w:hanging="360"/>
        <w:rPr>
          <w:color w:val="000000"/>
        </w:rPr>
      </w:pPr>
      <w:r w:rsidRPr="00257F7A">
        <w:rPr>
          <w:color w:val="000000"/>
        </w:rPr>
        <w:t>American College Health Association</w:t>
      </w:r>
      <w:r w:rsidR="00037538" w:rsidRPr="00257F7A">
        <w:rPr>
          <w:color w:val="000000"/>
        </w:rPr>
        <w:t xml:space="preserve"> (202</w:t>
      </w:r>
      <w:r w:rsidR="002C137C">
        <w:rPr>
          <w:color w:val="000000"/>
        </w:rPr>
        <w:t>2</w:t>
      </w:r>
      <w:r w:rsidR="00037538" w:rsidRPr="00257F7A">
        <w:rPr>
          <w:color w:val="000000"/>
        </w:rPr>
        <w:t>)</w:t>
      </w:r>
      <w:r w:rsidRPr="00257F7A">
        <w:rPr>
          <w:color w:val="000000"/>
        </w:rPr>
        <w:t>. American College Health Association-National College Health Assessment III: Reference Group Executive Summary Spring 202</w:t>
      </w:r>
      <w:r w:rsidR="002C137C">
        <w:rPr>
          <w:color w:val="000000"/>
        </w:rPr>
        <w:t>2</w:t>
      </w:r>
      <w:r w:rsidRPr="00257F7A">
        <w:rPr>
          <w:color w:val="000000"/>
        </w:rPr>
        <w:t>.</w:t>
      </w:r>
      <w:r w:rsidR="006D50C3">
        <w:rPr>
          <w:color w:val="000000"/>
        </w:rPr>
        <w:t xml:space="preserve"> </w:t>
      </w:r>
      <w:r w:rsidRPr="00257F7A">
        <w:rPr>
          <w:color w:val="000000"/>
        </w:rPr>
        <w:t>Silver</w:t>
      </w:r>
      <w:r w:rsidR="006D50C3">
        <w:rPr>
          <w:color w:val="000000"/>
        </w:rPr>
        <w:t xml:space="preserve"> </w:t>
      </w:r>
      <w:r w:rsidRPr="00257F7A">
        <w:rPr>
          <w:color w:val="000000"/>
        </w:rPr>
        <w:t>Spring, MD: American College Health Association</w:t>
      </w:r>
      <w:r w:rsidR="00037538" w:rsidRPr="00257F7A">
        <w:rPr>
          <w:color w:val="000000"/>
        </w:rPr>
        <w:t>.</w:t>
      </w:r>
    </w:p>
    <w:p w14:paraId="57D4472D" w14:textId="77777777" w:rsidR="00D42FC0" w:rsidRPr="00257F7A" w:rsidRDefault="00D42FC0" w:rsidP="006D50C3">
      <w:pPr>
        <w:pStyle w:val="NormalWeb"/>
        <w:tabs>
          <w:tab w:val="left" w:pos="360"/>
        </w:tabs>
        <w:spacing w:before="0" w:beforeAutospacing="0" w:after="0" w:afterAutospacing="0"/>
        <w:ind w:left="360" w:hanging="360"/>
        <w:rPr>
          <w:color w:val="000000"/>
        </w:rPr>
      </w:pPr>
    </w:p>
    <w:p w14:paraId="6821570D" w14:textId="3BF16877" w:rsidR="00D914B1" w:rsidRDefault="00D914B1" w:rsidP="006D50C3">
      <w:pPr>
        <w:pStyle w:val="NormalWeb"/>
        <w:tabs>
          <w:tab w:val="left" w:pos="360"/>
        </w:tabs>
        <w:spacing w:before="0" w:beforeAutospacing="0" w:after="0" w:afterAutospacing="0"/>
        <w:ind w:left="360" w:hanging="360"/>
        <w:rPr>
          <w:color w:val="212121"/>
        </w:rPr>
      </w:pPr>
      <w:r w:rsidRPr="00B06D14">
        <w:rPr>
          <w:color w:val="212121"/>
        </w:rPr>
        <w:t>Barrera, T. L., &amp; Norton, P. J. (2009). Quality of life impairment in generalized anxiety disorder,</w:t>
      </w:r>
      <w:r w:rsidR="006D50C3">
        <w:rPr>
          <w:color w:val="212121"/>
        </w:rPr>
        <w:t xml:space="preserve"> </w:t>
      </w:r>
      <w:r w:rsidRPr="00B06D14">
        <w:rPr>
          <w:color w:val="212121"/>
        </w:rPr>
        <w:t>social phobia, and panic disorder. </w:t>
      </w:r>
      <w:r w:rsidRPr="00B06D14">
        <w:rPr>
          <w:i/>
          <w:iCs/>
          <w:color w:val="212121"/>
        </w:rPr>
        <w:t xml:space="preserve">Journal of </w:t>
      </w:r>
      <w:r>
        <w:rPr>
          <w:i/>
          <w:iCs/>
          <w:color w:val="212121"/>
        </w:rPr>
        <w:t>A</w:t>
      </w:r>
      <w:r w:rsidRPr="00B06D14">
        <w:rPr>
          <w:i/>
          <w:iCs/>
          <w:color w:val="212121"/>
        </w:rPr>
        <w:t xml:space="preserve">nxiety </w:t>
      </w:r>
      <w:r>
        <w:rPr>
          <w:i/>
          <w:iCs/>
          <w:color w:val="212121"/>
        </w:rPr>
        <w:t>D</w:t>
      </w:r>
      <w:r w:rsidRPr="00B06D14">
        <w:rPr>
          <w:i/>
          <w:iCs/>
          <w:color w:val="212121"/>
        </w:rPr>
        <w:t>isorders</w:t>
      </w:r>
      <w:r w:rsidRPr="00B06D14">
        <w:rPr>
          <w:color w:val="212121"/>
        </w:rPr>
        <w:t>, </w:t>
      </w:r>
      <w:r w:rsidRPr="00B06D14">
        <w:rPr>
          <w:i/>
          <w:iCs/>
          <w:color w:val="212121"/>
        </w:rPr>
        <w:t>23</w:t>
      </w:r>
      <w:r w:rsidRPr="00B06D14">
        <w:rPr>
          <w:color w:val="212121"/>
        </w:rPr>
        <w:t xml:space="preserve">(8), 1086–1090. </w:t>
      </w:r>
      <w:hyperlink r:id="rId17" w:history="1">
        <w:r w:rsidR="006D50C3" w:rsidRPr="00BF01B9">
          <w:rPr>
            <w:rStyle w:val="Hyperlink"/>
          </w:rPr>
          <w:t>https://doi.org/10.1016/j.janxdis.2009.07.011</w:t>
        </w:r>
      </w:hyperlink>
    </w:p>
    <w:p w14:paraId="5D04526E" w14:textId="77777777" w:rsidR="00D42FC0" w:rsidRPr="00D914B1" w:rsidRDefault="00D42FC0" w:rsidP="006D50C3">
      <w:pPr>
        <w:pStyle w:val="NormalWeb"/>
        <w:tabs>
          <w:tab w:val="left" w:pos="360"/>
        </w:tabs>
        <w:spacing w:before="0" w:beforeAutospacing="0" w:after="0" w:afterAutospacing="0"/>
        <w:ind w:left="360" w:hanging="360"/>
        <w:rPr>
          <w:color w:val="000000"/>
        </w:rPr>
      </w:pPr>
    </w:p>
    <w:p w14:paraId="44CCEF80" w14:textId="1BFD10A3" w:rsidR="006E6F08" w:rsidRDefault="006E6F08" w:rsidP="006D50C3">
      <w:pPr>
        <w:pStyle w:val="NormalWeb"/>
        <w:tabs>
          <w:tab w:val="left" w:pos="360"/>
        </w:tabs>
        <w:spacing w:before="0" w:beforeAutospacing="0" w:after="0" w:afterAutospacing="0"/>
        <w:ind w:left="360" w:hanging="360"/>
      </w:pPr>
      <w:proofErr w:type="spellStart"/>
      <w:r w:rsidRPr="00257F7A">
        <w:rPr>
          <w:color w:val="000000"/>
        </w:rPr>
        <w:t>Beiter</w:t>
      </w:r>
      <w:proofErr w:type="spellEnd"/>
      <w:r w:rsidRPr="00257F7A">
        <w:rPr>
          <w:color w:val="000000"/>
        </w:rPr>
        <w:t xml:space="preserve">, R., Nash, R., McCrady, M., Rhoades, D., </w:t>
      </w:r>
      <w:proofErr w:type="spellStart"/>
      <w:r w:rsidRPr="00257F7A">
        <w:rPr>
          <w:color w:val="000000"/>
        </w:rPr>
        <w:t>Linscomb</w:t>
      </w:r>
      <w:proofErr w:type="spellEnd"/>
      <w:r w:rsidRPr="00257F7A">
        <w:rPr>
          <w:color w:val="000000"/>
        </w:rPr>
        <w:t xml:space="preserve">, M., </w:t>
      </w:r>
      <w:proofErr w:type="spellStart"/>
      <w:r w:rsidRPr="00257F7A">
        <w:rPr>
          <w:color w:val="000000"/>
        </w:rPr>
        <w:t>Clarahan</w:t>
      </w:r>
      <w:proofErr w:type="spellEnd"/>
      <w:r w:rsidRPr="00257F7A">
        <w:rPr>
          <w:color w:val="000000"/>
        </w:rPr>
        <w:t xml:space="preserve">, M., &amp; </w:t>
      </w:r>
      <w:proofErr w:type="spellStart"/>
      <w:r w:rsidRPr="00257F7A">
        <w:rPr>
          <w:color w:val="000000"/>
        </w:rPr>
        <w:t>Sammut</w:t>
      </w:r>
      <w:proofErr w:type="spellEnd"/>
      <w:r w:rsidRPr="00257F7A">
        <w:rPr>
          <w:color w:val="000000"/>
        </w:rPr>
        <w:t>, S.</w:t>
      </w:r>
      <w:r w:rsidR="006D50C3">
        <w:rPr>
          <w:color w:val="000000"/>
        </w:rPr>
        <w:t xml:space="preserve"> </w:t>
      </w:r>
      <w:r w:rsidRPr="00257F7A">
        <w:rPr>
          <w:color w:val="000000"/>
        </w:rPr>
        <w:t>(2015). The prevalence and correlates of depression, anxiety, and stress in a sample of</w:t>
      </w:r>
      <w:r w:rsidR="006D50C3">
        <w:rPr>
          <w:color w:val="000000"/>
        </w:rPr>
        <w:t xml:space="preserve"> </w:t>
      </w:r>
      <w:r w:rsidRPr="00257F7A">
        <w:rPr>
          <w:color w:val="000000"/>
        </w:rPr>
        <w:t xml:space="preserve">college students. </w:t>
      </w:r>
      <w:r w:rsidRPr="00257F7A">
        <w:rPr>
          <w:i/>
          <w:iCs/>
          <w:color w:val="000000"/>
        </w:rPr>
        <w:t>Journal of Affective Disorders</w:t>
      </w:r>
      <w:r w:rsidRPr="00257F7A">
        <w:rPr>
          <w:color w:val="000000"/>
        </w:rPr>
        <w:t xml:space="preserve">, </w:t>
      </w:r>
      <w:r w:rsidRPr="00257F7A">
        <w:rPr>
          <w:i/>
          <w:iCs/>
          <w:color w:val="000000"/>
        </w:rPr>
        <w:t>173</w:t>
      </w:r>
      <w:r w:rsidRPr="00257F7A">
        <w:rPr>
          <w:color w:val="000000"/>
        </w:rPr>
        <w:t>, 90–96.</w:t>
      </w:r>
      <w:r w:rsidR="006D50C3">
        <w:rPr>
          <w:color w:val="000000"/>
        </w:rPr>
        <w:t xml:space="preserve"> </w:t>
      </w:r>
      <w:hyperlink r:id="rId18" w:history="1">
        <w:r w:rsidR="006D50C3" w:rsidRPr="00BF01B9">
          <w:rPr>
            <w:rStyle w:val="Hyperlink"/>
          </w:rPr>
          <w:t>https://doi.org/10.1016/j.jad.2014.10.054</w:t>
        </w:r>
      </w:hyperlink>
    </w:p>
    <w:p w14:paraId="1ED33567" w14:textId="77777777" w:rsidR="00D42FC0" w:rsidRPr="00257F7A" w:rsidRDefault="00D42FC0" w:rsidP="006D50C3">
      <w:pPr>
        <w:pStyle w:val="NormalWeb"/>
        <w:tabs>
          <w:tab w:val="left" w:pos="360"/>
        </w:tabs>
        <w:spacing w:before="0" w:beforeAutospacing="0" w:after="0" w:afterAutospacing="0"/>
        <w:ind w:left="360" w:hanging="360"/>
        <w:rPr>
          <w:color w:val="000000"/>
        </w:rPr>
      </w:pPr>
    </w:p>
    <w:p w14:paraId="00CE4765" w14:textId="09A51C47"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Billingsley, J. T., &amp; Hurd, N. M. (2019). Discrimination, mental </w:t>
      </w:r>
      <w:proofErr w:type="gramStart"/>
      <w:r w:rsidRPr="00257F7A">
        <w:rPr>
          <w:color w:val="000000"/>
        </w:rPr>
        <w:t>health</w:t>
      </w:r>
      <w:proofErr w:type="gramEnd"/>
      <w:r w:rsidRPr="00257F7A">
        <w:rPr>
          <w:color w:val="000000"/>
        </w:rPr>
        <w:t xml:space="preserve"> and academic</w:t>
      </w:r>
      <w:r w:rsidR="006D50C3">
        <w:rPr>
          <w:color w:val="000000"/>
        </w:rPr>
        <w:t xml:space="preserve"> </w:t>
      </w:r>
      <w:r w:rsidRPr="00257F7A">
        <w:rPr>
          <w:color w:val="000000"/>
        </w:rPr>
        <w:t>performance among underrepresented college students: The role of extracurricular</w:t>
      </w:r>
      <w:r w:rsidR="006D50C3">
        <w:rPr>
          <w:color w:val="000000"/>
        </w:rPr>
        <w:t xml:space="preserve"> </w:t>
      </w:r>
      <w:r w:rsidRPr="00257F7A">
        <w:rPr>
          <w:color w:val="000000"/>
        </w:rPr>
        <w:t xml:space="preserve">activities at predominantly white institutions. </w:t>
      </w:r>
      <w:r w:rsidRPr="00257F7A">
        <w:rPr>
          <w:i/>
          <w:iCs/>
          <w:color w:val="000000"/>
        </w:rPr>
        <w:t>Social Psychology of Education</w:t>
      </w:r>
      <w:r w:rsidRPr="00257F7A">
        <w:rPr>
          <w:color w:val="000000"/>
        </w:rPr>
        <w:t xml:space="preserve">, </w:t>
      </w:r>
      <w:r w:rsidRPr="00257F7A">
        <w:rPr>
          <w:i/>
          <w:iCs/>
          <w:color w:val="000000"/>
        </w:rPr>
        <w:t>22</w:t>
      </w:r>
      <w:r w:rsidRPr="00257F7A">
        <w:rPr>
          <w:color w:val="000000"/>
        </w:rPr>
        <w:t>(2),</w:t>
      </w:r>
      <w:r w:rsidR="006D50C3">
        <w:rPr>
          <w:color w:val="000000"/>
        </w:rPr>
        <w:t xml:space="preserve"> </w:t>
      </w:r>
      <w:r w:rsidRPr="00257F7A">
        <w:rPr>
          <w:color w:val="000000"/>
        </w:rPr>
        <w:t xml:space="preserve">421–446. </w:t>
      </w:r>
      <w:hyperlink r:id="rId19" w:history="1">
        <w:r w:rsidR="00D42FC0" w:rsidRPr="00D42FC0">
          <w:rPr>
            <w:rStyle w:val="Hyperlink"/>
          </w:rPr>
          <w:t>https://doi.org/10.1007/s11218-019-09484-</w:t>
        </w:r>
        <w:r w:rsidR="00D42FC0" w:rsidRPr="00126DCE">
          <w:rPr>
            <w:rStyle w:val="Hyperlink"/>
          </w:rPr>
          <w:t>8</w:t>
        </w:r>
      </w:hyperlink>
    </w:p>
    <w:p w14:paraId="77079372" w14:textId="77777777" w:rsidR="001B307F" w:rsidRDefault="001B307F" w:rsidP="00723449">
      <w:pPr>
        <w:pStyle w:val="NormalWeb"/>
        <w:widowControl w:val="0"/>
        <w:tabs>
          <w:tab w:val="left" w:pos="360"/>
        </w:tabs>
        <w:spacing w:before="0" w:beforeAutospacing="0" w:after="0" w:afterAutospacing="0"/>
      </w:pPr>
    </w:p>
    <w:p w14:paraId="7C5A5486" w14:textId="36B2092F" w:rsidR="006E6F08" w:rsidRDefault="006E6F08" w:rsidP="006D50C3">
      <w:pPr>
        <w:pStyle w:val="NormalWeb"/>
        <w:tabs>
          <w:tab w:val="left" w:pos="360"/>
        </w:tabs>
        <w:spacing w:before="0" w:beforeAutospacing="0" w:after="0" w:afterAutospacing="0"/>
        <w:ind w:left="360" w:hanging="360"/>
      </w:pPr>
      <w:r w:rsidRPr="00257F7A">
        <w:rPr>
          <w:color w:val="000000"/>
        </w:rPr>
        <w:t xml:space="preserve">Brown, S. C. (2004). Learning </w:t>
      </w:r>
      <w:r w:rsidR="006E572C">
        <w:rPr>
          <w:color w:val="000000"/>
        </w:rPr>
        <w:t>a</w:t>
      </w:r>
      <w:r w:rsidRPr="00257F7A">
        <w:rPr>
          <w:color w:val="000000"/>
        </w:rPr>
        <w:t xml:space="preserve">cross the </w:t>
      </w:r>
      <w:r w:rsidR="006E572C">
        <w:rPr>
          <w:color w:val="000000"/>
        </w:rPr>
        <w:t>c</w:t>
      </w:r>
      <w:r w:rsidRPr="00257F7A">
        <w:rPr>
          <w:color w:val="000000"/>
        </w:rPr>
        <w:t xml:space="preserve">ampus: How </w:t>
      </w:r>
      <w:r w:rsidR="006E572C">
        <w:rPr>
          <w:color w:val="000000"/>
        </w:rPr>
        <w:t>c</w:t>
      </w:r>
      <w:r w:rsidRPr="00257F7A">
        <w:rPr>
          <w:color w:val="000000"/>
        </w:rPr>
        <w:t xml:space="preserve">ollege </w:t>
      </w:r>
      <w:r w:rsidR="006E572C">
        <w:rPr>
          <w:color w:val="000000"/>
        </w:rPr>
        <w:t>f</w:t>
      </w:r>
      <w:r w:rsidRPr="00257F7A">
        <w:rPr>
          <w:color w:val="000000"/>
        </w:rPr>
        <w:t xml:space="preserve">acilitates the </w:t>
      </w:r>
      <w:r w:rsidR="006E572C">
        <w:rPr>
          <w:color w:val="000000"/>
        </w:rPr>
        <w:t>d</w:t>
      </w:r>
      <w:r w:rsidRPr="00257F7A">
        <w:rPr>
          <w:color w:val="000000"/>
        </w:rPr>
        <w:t>evelopment of</w:t>
      </w:r>
      <w:r w:rsidR="006D50C3">
        <w:rPr>
          <w:color w:val="000000"/>
        </w:rPr>
        <w:t xml:space="preserve"> </w:t>
      </w:r>
      <w:r w:rsidR="006E572C">
        <w:rPr>
          <w:color w:val="000000"/>
        </w:rPr>
        <w:t>w</w:t>
      </w:r>
      <w:r w:rsidRPr="00257F7A">
        <w:rPr>
          <w:color w:val="000000"/>
        </w:rPr>
        <w:t xml:space="preserve">isdom. </w:t>
      </w:r>
      <w:r w:rsidRPr="00257F7A">
        <w:rPr>
          <w:i/>
          <w:iCs/>
          <w:color w:val="000000"/>
        </w:rPr>
        <w:t>Journal of College Student Development</w:t>
      </w:r>
      <w:r w:rsidRPr="00257F7A">
        <w:rPr>
          <w:color w:val="000000"/>
        </w:rPr>
        <w:t xml:space="preserve">, </w:t>
      </w:r>
      <w:r w:rsidRPr="00257F7A">
        <w:rPr>
          <w:i/>
          <w:iCs/>
          <w:color w:val="000000"/>
        </w:rPr>
        <w:t>45</w:t>
      </w:r>
      <w:r w:rsidRPr="00257F7A">
        <w:rPr>
          <w:color w:val="000000"/>
        </w:rPr>
        <w:t>(2), 134–148.</w:t>
      </w:r>
      <w:r w:rsidR="006D50C3">
        <w:rPr>
          <w:color w:val="000000"/>
        </w:rPr>
        <w:t xml:space="preserve"> </w:t>
      </w:r>
      <w:hyperlink r:id="rId20" w:history="1">
        <w:r w:rsidR="006D50C3" w:rsidRPr="00BF01B9">
          <w:rPr>
            <w:rStyle w:val="Hyperlink"/>
          </w:rPr>
          <w:t>https://doi.org/10.1353/csd.2004.0020</w:t>
        </w:r>
      </w:hyperlink>
    </w:p>
    <w:p w14:paraId="4F9AC10F" w14:textId="77777777" w:rsidR="00D42FC0" w:rsidRPr="00257F7A" w:rsidRDefault="00D42FC0" w:rsidP="006D50C3">
      <w:pPr>
        <w:pStyle w:val="NormalWeb"/>
        <w:tabs>
          <w:tab w:val="left" w:pos="360"/>
        </w:tabs>
        <w:spacing w:before="0" w:beforeAutospacing="0" w:after="0" w:afterAutospacing="0"/>
        <w:ind w:left="360" w:hanging="360"/>
      </w:pPr>
    </w:p>
    <w:p w14:paraId="3069862F" w14:textId="4E4F9F1C" w:rsidR="006E6F08" w:rsidRDefault="006E6F08" w:rsidP="006D50C3">
      <w:pPr>
        <w:pStyle w:val="NormalWeb"/>
        <w:tabs>
          <w:tab w:val="left" w:pos="360"/>
        </w:tabs>
        <w:spacing w:before="0" w:beforeAutospacing="0" w:after="0" w:afterAutospacing="0"/>
        <w:ind w:left="360" w:hanging="360"/>
      </w:pPr>
      <w:r w:rsidRPr="00257F7A">
        <w:rPr>
          <w:color w:val="000000"/>
        </w:rPr>
        <w:t xml:space="preserve">Busteed, B. &amp; </w:t>
      </w:r>
      <w:proofErr w:type="spellStart"/>
      <w:r w:rsidRPr="00257F7A">
        <w:rPr>
          <w:color w:val="000000"/>
        </w:rPr>
        <w:t>Auter</w:t>
      </w:r>
      <w:proofErr w:type="spellEnd"/>
      <w:r w:rsidRPr="00257F7A">
        <w:rPr>
          <w:color w:val="000000"/>
        </w:rPr>
        <w:t>, Z. (2018). Career-relevant education linked to student well-being. Gallup.</w:t>
      </w:r>
      <w:r w:rsidR="006D50C3">
        <w:t xml:space="preserve"> </w:t>
      </w:r>
      <w:hyperlink r:id="rId21" w:history="1">
        <w:r w:rsidR="006D50C3" w:rsidRPr="00BF01B9">
          <w:rPr>
            <w:rStyle w:val="Hyperlink"/>
          </w:rPr>
          <w:t>https://news.gallup.com/opinion/gallup/226934/career-relevant-education-linked-student.aspx</w:t>
        </w:r>
      </w:hyperlink>
      <w:r w:rsidR="006D50C3">
        <w:t xml:space="preserve"> </w:t>
      </w:r>
      <w:r w:rsidR="004727C2">
        <w:t xml:space="preserve"> </w:t>
      </w:r>
      <w:r w:rsidR="006D50C3">
        <w:t xml:space="preserve"> </w:t>
      </w:r>
    </w:p>
    <w:p w14:paraId="7009FA3C" w14:textId="77777777" w:rsidR="00D42FC0" w:rsidRPr="00D42FC0" w:rsidRDefault="00D42FC0" w:rsidP="006D50C3">
      <w:pPr>
        <w:tabs>
          <w:tab w:val="left" w:pos="360"/>
        </w:tabs>
        <w:ind w:left="360" w:hanging="360"/>
      </w:pPr>
    </w:p>
    <w:p w14:paraId="5141CF88" w14:textId="4B358F76" w:rsidR="003C12C5" w:rsidRDefault="003C12C5" w:rsidP="006D50C3">
      <w:pPr>
        <w:pStyle w:val="NormalWeb"/>
        <w:tabs>
          <w:tab w:val="left" w:pos="360"/>
        </w:tabs>
        <w:spacing w:before="0" w:beforeAutospacing="0" w:after="0" w:afterAutospacing="0"/>
        <w:ind w:left="360" w:hanging="360"/>
      </w:pPr>
      <w:r w:rsidRPr="003C12C5">
        <w:rPr>
          <w:highlight w:val="yellow"/>
        </w:rPr>
        <w:t>Campbell-Sills, L., Cohan, S. L., &amp; Stein, M. B. (2006). Relationship of resilience to personality, coping, and psychiatric symptoms in young adults. </w:t>
      </w:r>
      <w:proofErr w:type="spellStart"/>
      <w:r w:rsidRPr="003C12C5">
        <w:rPr>
          <w:i/>
          <w:iCs/>
          <w:highlight w:val="yellow"/>
        </w:rPr>
        <w:t>Behaviour</w:t>
      </w:r>
      <w:proofErr w:type="spellEnd"/>
      <w:r w:rsidRPr="003C12C5">
        <w:rPr>
          <w:i/>
          <w:iCs/>
          <w:highlight w:val="yellow"/>
        </w:rPr>
        <w:t xml:space="preserve"> research and therapy</w:t>
      </w:r>
      <w:r w:rsidRPr="003C12C5">
        <w:rPr>
          <w:highlight w:val="yellow"/>
        </w:rPr>
        <w:t>, </w:t>
      </w:r>
      <w:r w:rsidRPr="003C12C5">
        <w:rPr>
          <w:i/>
          <w:iCs/>
          <w:highlight w:val="yellow"/>
        </w:rPr>
        <w:t>44</w:t>
      </w:r>
      <w:r w:rsidRPr="003C12C5">
        <w:rPr>
          <w:highlight w:val="yellow"/>
        </w:rPr>
        <w:t xml:space="preserve">(4), 585-599. </w:t>
      </w:r>
      <w:hyperlink r:id="rId22" w:history="1">
        <w:r w:rsidRPr="003C12C5">
          <w:rPr>
            <w:rStyle w:val="Hyperlink"/>
            <w:highlight w:val="yellow"/>
          </w:rPr>
          <w:t>https://doi:10.1016/j.brat.2005.05.001</w:t>
        </w:r>
      </w:hyperlink>
      <w:r>
        <w:t xml:space="preserve"> </w:t>
      </w:r>
    </w:p>
    <w:p w14:paraId="3746E59F" w14:textId="77777777" w:rsidR="003C12C5" w:rsidRDefault="003C12C5" w:rsidP="006D50C3">
      <w:pPr>
        <w:pStyle w:val="NormalWeb"/>
        <w:tabs>
          <w:tab w:val="left" w:pos="360"/>
        </w:tabs>
        <w:spacing w:before="0" w:beforeAutospacing="0" w:after="0" w:afterAutospacing="0"/>
        <w:ind w:left="360" w:hanging="360"/>
      </w:pPr>
    </w:p>
    <w:p w14:paraId="472241B6" w14:textId="64C366AD" w:rsidR="00D42FC0" w:rsidRDefault="0020549B" w:rsidP="006D50C3">
      <w:pPr>
        <w:pStyle w:val="NormalWeb"/>
        <w:tabs>
          <w:tab w:val="left" w:pos="360"/>
        </w:tabs>
        <w:spacing w:before="0" w:beforeAutospacing="0" w:after="0" w:afterAutospacing="0"/>
        <w:ind w:left="360" w:hanging="360"/>
      </w:pPr>
      <w:r w:rsidRPr="0020549B">
        <w:t xml:space="preserve">Center for Collegiate Mental Health. (2022, January). </w:t>
      </w:r>
      <w:r w:rsidRPr="0020549B">
        <w:rPr>
          <w:i/>
          <w:iCs/>
        </w:rPr>
        <w:t xml:space="preserve">2021 Annual Report </w:t>
      </w:r>
      <w:r w:rsidRPr="0020549B">
        <w:t>(Publication No. STA</w:t>
      </w:r>
      <w:r w:rsidR="006D50C3">
        <w:t xml:space="preserve"> </w:t>
      </w:r>
      <w:r w:rsidRPr="0020549B">
        <w:t xml:space="preserve">22-132) </w:t>
      </w:r>
    </w:p>
    <w:p w14:paraId="46BA59E2" w14:textId="77777777" w:rsidR="00BB164F" w:rsidRDefault="00BB164F" w:rsidP="00837789">
      <w:pPr>
        <w:pStyle w:val="NormalWeb"/>
        <w:tabs>
          <w:tab w:val="left" w:pos="360"/>
        </w:tabs>
        <w:spacing w:before="0" w:beforeAutospacing="0" w:after="0" w:afterAutospacing="0"/>
        <w:rPr>
          <w:color w:val="000000"/>
        </w:rPr>
      </w:pPr>
    </w:p>
    <w:p w14:paraId="5B4D8A12" w14:textId="676271F3" w:rsidR="006E6F08" w:rsidRDefault="006E6F08" w:rsidP="006D50C3">
      <w:pPr>
        <w:pStyle w:val="NormalWeb"/>
        <w:tabs>
          <w:tab w:val="left" w:pos="360"/>
        </w:tabs>
        <w:spacing w:before="0" w:beforeAutospacing="0" w:after="0" w:afterAutospacing="0"/>
        <w:ind w:left="360" w:hanging="360"/>
        <w:rPr>
          <w:color w:val="000000"/>
        </w:rPr>
      </w:pPr>
      <w:proofErr w:type="spellStart"/>
      <w:r w:rsidRPr="00257F7A">
        <w:rPr>
          <w:color w:val="000000"/>
        </w:rPr>
        <w:t>Cokley</w:t>
      </w:r>
      <w:proofErr w:type="spellEnd"/>
      <w:r w:rsidRPr="00257F7A">
        <w:rPr>
          <w:color w:val="000000"/>
        </w:rPr>
        <w:t>, K., Hall-Clark, B., &amp; Hicks, D. (2011). Ethnic minority-majority status and mental</w:t>
      </w:r>
      <w:r w:rsidR="006D50C3">
        <w:rPr>
          <w:color w:val="000000"/>
        </w:rPr>
        <w:t xml:space="preserve"> </w:t>
      </w:r>
      <w:r w:rsidRPr="00257F7A">
        <w:rPr>
          <w:color w:val="000000"/>
        </w:rPr>
        <w:t xml:space="preserve">health: The mediating role of perceived discrimination. </w:t>
      </w:r>
      <w:r w:rsidRPr="00257F7A">
        <w:rPr>
          <w:i/>
          <w:iCs/>
          <w:color w:val="000000"/>
        </w:rPr>
        <w:t>Journal of Mental Health</w:t>
      </w:r>
      <w:r w:rsidR="006D50C3">
        <w:rPr>
          <w:i/>
          <w:iCs/>
          <w:color w:val="000000"/>
        </w:rPr>
        <w:t xml:space="preserve"> </w:t>
      </w:r>
      <w:r w:rsidRPr="00257F7A">
        <w:rPr>
          <w:i/>
          <w:iCs/>
          <w:color w:val="000000"/>
        </w:rPr>
        <w:t>Counseling</w:t>
      </w:r>
      <w:r w:rsidRPr="00257F7A">
        <w:rPr>
          <w:color w:val="000000"/>
        </w:rPr>
        <w:t xml:space="preserve">, </w:t>
      </w:r>
      <w:r w:rsidRPr="00257F7A">
        <w:rPr>
          <w:i/>
          <w:iCs/>
          <w:color w:val="000000"/>
        </w:rPr>
        <w:t>33</w:t>
      </w:r>
      <w:r w:rsidRPr="00257F7A">
        <w:rPr>
          <w:color w:val="000000"/>
        </w:rPr>
        <w:t xml:space="preserve">(3), 243–263. </w:t>
      </w:r>
      <w:hyperlink r:id="rId23" w:history="1">
        <w:r w:rsidR="00D42FC0" w:rsidRPr="00126DCE">
          <w:rPr>
            <w:rStyle w:val="Hyperlink"/>
          </w:rPr>
          <w:t>https://doi.org/10.17744/mehc.33.3.u1n011t020783086</w:t>
        </w:r>
      </w:hyperlink>
    </w:p>
    <w:p w14:paraId="48FB433A" w14:textId="77777777" w:rsidR="00D42FC0" w:rsidRPr="00257F7A" w:rsidRDefault="00D42FC0" w:rsidP="006D50C3">
      <w:pPr>
        <w:pStyle w:val="NormalWeb"/>
        <w:tabs>
          <w:tab w:val="left" w:pos="360"/>
        </w:tabs>
        <w:spacing w:before="0" w:beforeAutospacing="0" w:after="0" w:afterAutospacing="0"/>
        <w:ind w:left="360" w:hanging="360"/>
      </w:pPr>
    </w:p>
    <w:p w14:paraId="48B6BBF1" w14:textId="65888C90" w:rsidR="006E6F08" w:rsidRDefault="006E6F08" w:rsidP="006D50C3">
      <w:pPr>
        <w:pStyle w:val="NormalWeb"/>
        <w:tabs>
          <w:tab w:val="left" w:pos="360"/>
        </w:tabs>
        <w:spacing w:before="0" w:beforeAutospacing="0" w:after="0" w:afterAutospacing="0"/>
        <w:ind w:left="360" w:hanging="360"/>
        <w:rPr>
          <w:color w:val="000000"/>
        </w:rPr>
      </w:pPr>
      <w:proofErr w:type="spellStart"/>
      <w:r w:rsidRPr="00257F7A">
        <w:rPr>
          <w:color w:val="000000"/>
        </w:rPr>
        <w:lastRenderedPageBreak/>
        <w:t>Cokley</w:t>
      </w:r>
      <w:proofErr w:type="spellEnd"/>
      <w:r w:rsidRPr="00257F7A">
        <w:rPr>
          <w:color w:val="000000"/>
        </w:rPr>
        <w:t xml:space="preserve">, K., McClain, S., </w:t>
      </w:r>
      <w:proofErr w:type="spellStart"/>
      <w:r w:rsidRPr="00257F7A">
        <w:rPr>
          <w:color w:val="000000"/>
        </w:rPr>
        <w:t>Enciso</w:t>
      </w:r>
      <w:proofErr w:type="spellEnd"/>
      <w:r w:rsidRPr="00257F7A">
        <w:rPr>
          <w:color w:val="000000"/>
        </w:rPr>
        <w:t xml:space="preserve">, A., &amp; Martinez, M. (2013). An </w:t>
      </w:r>
      <w:r w:rsidR="006E572C">
        <w:rPr>
          <w:color w:val="000000"/>
        </w:rPr>
        <w:t>e</w:t>
      </w:r>
      <w:r w:rsidRPr="00257F7A">
        <w:rPr>
          <w:color w:val="000000"/>
        </w:rPr>
        <w:t xml:space="preserve">xamination of the </w:t>
      </w:r>
      <w:r w:rsidR="006E572C">
        <w:rPr>
          <w:color w:val="000000"/>
        </w:rPr>
        <w:t>i</w:t>
      </w:r>
      <w:r w:rsidRPr="00257F7A">
        <w:rPr>
          <w:color w:val="000000"/>
        </w:rPr>
        <w:t>mpact of</w:t>
      </w:r>
      <w:r w:rsidR="001D05F9">
        <w:rPr>
          <w:color w:val="000000"/>
        </w:rPr>
        <w:t xml:space="preserve"> </w:t>
      </w:r>
      <w:r w:rsidR="006E572C">
        <w:rPr>
          <w:color w:val="000000"/>
        </w:rPr>
        <w:t>m</w:t>
      </w:r>
      <w:r w:rsidRPr="00257F7A">
        <w:rPr>
          <w:color w:val="000000"/>
        </w:rPr>
        <w:t xml:space="preserve">inority </w:t>
      </w:r>
      <w:r w:rsidR="006E572C">
        <w:rPr>
          <w:color w:val="000000"/>
        </w:rPr>
        <w:t>s</w:t>
      </w:r>
      <w:r w:rsidRPr="00257F7A">
        <w:rPr>
          <w:color w:val="000000"/>
        </w:rPr>
        <w:t xml:space="preserve">tatus </w:t>
      </w:r>
      <w:r w:rsidR="006E572C">
        <w:rPr>
          <w:color w:val="000000"/>
        </w:rPr>
        <w:t>s</w:t>
      </w:r>
      <w:r w:rsidRPr="00257F7A">
        <w:rPr>
          <w:color w:val="000000"/>
        </w:rPr>
        <w:t xml:space="preserve">tress and </w:t>
      </w:r>
      <w:r w:rsidR="006E572C">
        <w:rPr>
          <w:color w:val="000000"/>
        </w:rPr>
        <w:t>i</w:t>
      </w:r>
      <w:r w:rsidRPr="00257F7A">
        <w:rPr>
          <w:color w:val="000000"/>
        </w:rPr>
        <w:t xml:space="preserve">mpostor </w:t>
      </w:r>
      <w:r w:rsidR="006E572C">
        <w:rPr>
          <w:color w:val="000000"/>
        </w:rPr>
        <w:t>f</w:t>
      </w:r>
      <w:r w:rsidRPr="00257F7A">
        <w:rPr>
          <w:color w:val="000000"/>
        </w:rPr>
        <w:t xml:space="preserve">eelings on the </w:t>
      </w:r>
      <w:r w:rsidR="006E572C">
        <w:rPr>
          <w:color w:val="000000"/>
        </w:rPr>
        <w:t>m</w:t>
      </w:r>
      <w:r w:rsidRPr="00257F7A">
        <w:rPr>
          <w:color w:val="000000"/>
        </w:rPr>
        <w:t xml:space="preserve">ental </w:t>
      </w:r>
      <w:r w:rsidR="006E572C">
        <w:rPr>
          <w:color w:val="000000"/>
        </w:rPr>
        <w:t>h</w:t>
      </w:r>
      <w:r w:rsidRPr="00257F7A">
        <w:rPr>
          <w:color w:val="000000"/>
        </w:rPr>
        <w:t xml:space="preserve">ealth of </w:t>
      </w:r>
      <w:r w:rsidR="006E572C">
        <w:rPr>
          <w:color w:val="000000"/>
        </w:rPr>
        <w:t>d</w:t>
      </w:r>
      <w:r w:rsidRPr="00257F7A">
        <w:rPr>
          <w:color w:val="000000"/>
        </w:rPr>
        <w:t xml:space="preserve">iverse </w:t>
      </w:r>
      <w:r w:rsidR="006E572C">
        <w:rPr>
          <w:color w:val="000000"/>
        </w:rPr>
        <w:t>e</w:t>
      </w:r>
      <w:r w:rsidRPr="00257F7A">
        <w:rPr>
          <w:color w:val="000000"/>
        </w:rPr>
        <w:t>thnic</w:t>
      </w:r>
      <w:r w:rsidR="001D05F9">
        <w:rPr>
          <w:color w:val="000000"/>
        </w:rPr>
        <w:t xml:space="preserve"> </w:t>
      </w:r>
      <w:r w:rsidR="006E572C">
        <w:rPr>
          <w:color w:val="000000"/>
        </w:rPr>
        <w:t>m</w:t>
      </w:r>
      <w:r w:rsidRPr="00257F7A">
        <w:rPr>
          <w:color w:val="000000"/>
        </w:rPr>
        <w:t xml:space="preserve">inority </w:t>
      </w:r>
      <w:r w:rsidR="006E572C">
        <w:rPr>
          <w:color w:val="000000"/>
        </w:rPr>
        <w:t>c</w:t>
      </w:r>
      <w:r w:rsidRPr="00257F7A">
        <w:rPr>
          <w:color w:val="000000"/>
        </w:rPr>
        <w:t xml:space="preserve">ollege </w:t>
      </w:r>
      <w:r w:rsidR="006E572C">
        <w:rPr>
          <w:color w:val="000000"/>
        </w:rPr>
        <w:t>s</w:t>
      </w:r>
      <w:r w:rsidRPr="00257F7A">
        <w:rPr>
          <w:color w:val="000000"/>
        </w:rPr>
        <w:t xml:space="preserve">tudents. </w:t>
      </w:r>
      <w:r w:rsidRPr="00257F7A">
        <w:rPr>
          <w:i/>
          <w:iCs/>
          <w:color w:val="000000"/>
        </w:rPr>
        <w:t>Journal of Multicultural Counseling and Development</w:t>
      </w:r>
      <w:r w:rsidRPr="00257F7A">
        <w:rPr>
          <w:color w:val="000000"/>
        </w:rPr>
        <w:t xml:space="preserve">, </w:t>
      </w:r>
      <w:r w:rsidRPr="00257F7A">
        <w:rPr>
          <w:i/>
          <w:iCs/>
          <w:color w:val="000000"/>
        </w:rPr>
        <w:t>41</w:t>
      </w:r>
      <w:r w:rsidRPr="00257F7A">
        <w:rPr>
          <w:color w:val="000000"/>
        </w:rPr>
        <w:t>(2),</w:t>
      </w:r>
      <w:r w:rsidR="001D05F9">
        <w:rPr>
          <w:color w:val="000000"/>
        </w:rPr>
        <w:t xml:space="preserve"> </w:t>
      </w:r>
      <w:r w:rsidRPr="00257F7A">
        <w:rPr>
          <w:color w:val="000000"/>
        </w:rPr>
        <w:t xml:space="preserve">82–95. </w:t>
      </w:r>
      <w:hyperlink r:id="rId24" w:history="1">
        <w:r w:rsidR="00D42FC0" w:rsidRPr="00D42FC0">
          <w:rPr>
            <w:rStyle w:val="Hyperlink"/>
          </w:rPr>
          <w:t>https://doi.org/10.1002/j.2161-1912.2013.00029</w:t>
        </w:r>
        <w:r w:rsidR="00D42FC0" w:rsidRPr="00126DCE">
          <w:rPr>
            <w:rStyle w:val="Hyperlink"/>
          </w:rPr>
          <w:t>.x</w:t>
        </w:r>
      </w:hyperlink>
    </w:p>
    <w:p w14:paraId="17A431C9" w14:textId="77777777" w:rsidR="00D42FC0" w:rsidRPr="00257F7A" w:rsidRDefault="00D42FC0" w:rsidP="006D50C3">
      <w:pPr>
        <w:pStyle w:val="NormalWeb"/>
        <w:tabs>
          <w:tab w:val="left" w:pos="360"/>
        </w:tabs>
        <w:spacing w:before="0" w:beforeAutospacing="0" w:after="0" w:afterAutospacing="0"/>
        <w:ind w:left="360" w:hanging="360"/>
      </w:pPr>
    </w:p>
    <w:p w14:paraId="2554D981" w14:textId="5A99BE87"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Cook-Sather, A., &amp; </w:t>
      </w:r>
      <w:proofErr w:type="spellStart"/>
      <w:r w:rsidRPr="00257F7A">
        <w:rPr>
          <w:color w:val="000000"/>
        </w:rPr>
        <w:t>Felten</w:t>
      </w:r>
      <w:proofErr w:type="spellEnd"/>
      <w:r w:rsidRPr="00257F7A">
        <w:rPr>
          <w:color w:val="000000"/>
        </w:rPr>
        <w:t xml:space="preserve">, P. (2017). Where </w:t>
      </w:r>
      <w:r w:rsidR="006E572C">
        <w:rPr>
          <w:color w:val="000000"/>
        </w:rPr>
        <w:t>s</w:t>
      </w:r>
      <w:r w:rsidRPr="00257F7A">
        <w:rPr>
          <w:color w:val="000000"/>
        </w:rPr>
        <w:t xml:space="preserve">tudent </w:t>
      </w:r>
      <w:r w:rsidR="006E572C">
        <w:rPr>
          <w:color w:val="000000"/>
        </w:rPr>
        <w:t>e</w:t>
      </w:r>
      <w:r w:rsidRPr="00257F7A">
        <w:rPr>
          <w:color w:val="000000"/>
        </w:rPr>
        <w:t xml:space="preserve">ngagement </w:t>
      </w:r>
      <w:r w:rsidR="006E572C">
        <w:rPr>
          <w:color w:val="000000"/>
        </w:rPr>
        <w:t>m</w:t>
      </w:r>
      <w:r w:rsidRPr="00257F7A">
        <w:rPr>
          <w:color w:val="000000"/>
        </w:rPr>
        <w:t xml:space="preserve">eets </w:t>
      </w:r>
      <w:r w:rsidR="006E572C">
        <w:rPr>
          <w:color w:val="000000"/>
        </w:rPr>
        <w:t>f</w:t>
      </w:r>
      <w:r w:rsidRPr="00257F7A">
        <w:rPr>
          <w:color w:val="000000"/>
        </w:rPr>
        <w:t xml:space="preserve">aculty </w:t>
      </w:r>
      <w:r w:rsidR="006E572C">
        <w:rPr>
          <w:color w:val="000000"/>
        </w:rPr>
        <w:t>d</w:t>
      </w:r>
      <w:r w:rsidRPr="00257F7A">
        <w:rPr>
          <w:color w:val="000000"/>
        </w:rPr>
        <w:t>evelopment:</w:t>
      </w:r>
      <w:r w:rsidR="001D05F9">
        <w:rPr>
          <w:color w:val="000000"/>
        </w:rPr>
        <w:t xml:space="preserve"> </w:t>
      </w:r>
      <w:r w:rsidRPr="00257F7A">
        <w:rPr>
          <w:color w:val="000000"/>
        </w:rPr>
        <w:t xml:space="preserve">How </w:t>
      </w:r>
      <w:r w:rsidR="006E572C">
        <w:rPr>
          <w:color w:val="000000"/>
        </w:rPr>
        <w:t>s</w:t>
      </w:r>
      <w:r w:rsidRPr="00257F7A">
        <w:rPr>
          <w:color w:val="000000"/>
        </w:rPr>
        <w:t>tudent-</w:t>
      </w:r>
      <w:r w:rsidR="006E572C">
        <w:rPr>
          <w:color w:val="000000"/>
        </w:rPr>
        <w:t>f</w:t>
      </w:r>
      <w:r w:rsidRPr="00257F7A">
        <w:rPr>
          <w:color w:val="000000"/>
        </w:rPr>
        <w:t xml:space="preserve">aculty </w:t>
      </w:r>
      <w:r w:rsidR="006E572C">
        <w:rPr>
          <w:color w:val="000000"/>
        </w:rPr>
        <w:t>p</w:t>
      </w:r>
      <w:r w:rsidRPr="00257F7A">
        <w:rPr>
          <w:color w:val="000000"/>
        </w:rPr>
        <w:t xml:space="preserve">edagogical </w:t>
      </w:r>
      <w:r w:rsidR="006E572C">
        <w:rPr>
          <w:color w:val="000000"/>
        </w:rPr>
        <w:t>p</w:t>
      </w:r>
      <w:r w:rsidRPr="00257F7A">
        <w:rPr>
          <w:color w:val="000000"/>
        </w:rPr>
        <w:t xml:space="preserve">artnership </w:t>
      </w:r>
      <w:r w:rsidR="006E572C">
        <w:rPr>
          <w:color w:val="000000"/>
        </w:rPr>
        <w:t>f</w:t>
      </w:r>
      <w:r w:rsidRPr="00257F7A">
        <w:rPr>
          <w:color w:val="000000"/>
        </w:rPr>
        <w:t xml:space="preserve">osters a </w:t>
      </w:r>
      <w:r w:rsidR="006E572C">
        <w:rPr>
          <w:color w:val="000000"/>
        </w:rPr>
        <w:t>s</w:t>
      </w:r>
      <w:r w:rsidRPr="00257F7A">
        <w:rPr>
          <w:color w:val="000000"/>
        </w:rPr>
        <w:t xml:space="preserve">ense of </w:t>
      </w:r>
      <w:r w:rsidR="006E572C">
        <w:rPr>
          <w:color w:val="000000"/>
        </w:rPr>
        <w:t>b</w:t>
      </w:r>
      <w:r w:rsidRPr="00257F7A">
        <w:rPr>
          <w:color w:val="000000"/>
        </w:rPr>
        <w:t xml:space="preserve">elonging. </w:t>
      </w:r>
      <w:r w:rsidRPr="00257F7A">
        <w:rPr>
          <w:i/>
          <w:iCs/>
          <w:color w:val="000000"/>
        </w:rPr>
        <w:t>Student</w:t>
      </w:r>
      <w:r w:rsidR="001D05F9">
        <w:rPr>
          <w:i/>
          <w:iCs/>
          <w:color w:val="000000"/>
        </w:rPr>
        <w:t xml:space="preserve"> </w:t>
      </w:r>
      <w:r w:rsidRPr="00257F7A">
        <w:rPr>
          <w:i/>
          <w:iCs/>
          <w:color w:val="000000"/>
        </w:rPr>
        <w:t>Engagement in Higher Education Journal</w:t>
      </w:r>
      <w:r w:rsidRPr="00257F7A">
        <w:rPr>
          <w:color w:val="000000"/>
        </w:rPr>
        <w:t xml:space="preserve">, </w:t>
      </w:r>
      <w:r w:rsidRPr="00257F7A">
        <w:rPr>
          <w:i/>
          <w:iCs/>
          <w:color w:val="000000"/>
        </w:rPr>
        <w:t>1</w:t>
      </w:r>
      <w:r w:rsidRPr="00257F7A">
        <w:rPr>
          <w:color w:val="000000"/>
        </w:rPr>
        <w:t>(2), 3–3.</w:t>
      </w:r>
    </w:p>
    <w:p w14:paraId="1705E6F8" w14:textId="77777777" w:rsidR="00D42FC0" w:rsidRPr="00257F7A" w:rsidRDefault="00D42FC0" w:rsidP="006D50C3">
      <w:pPr>
        <w:pStyle w:val="NormalWeb"/>
        <w:tabs>
          <w:tab w:val="left" w:pos="360"/>
        </w:tabs>
        <w:spacing w:before="0" w:beforeAutospacing="0" w:after="0" w:afterAutospacing="0"/>
        <w:ind w:left="360" w:hanging="360"/>
      </w:pPr>
    </w:p>
    <w:p w14:paraId="4328F23F" w14:textId="799A91D1"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Crabtree, S. (2019). Six college experiences linked to student confidence on jobs. Gallup. </w:t>
      </w:r>
      <w:hyperlink r:id="rId25" w:history="1">
        <w:r w:rsidR="001D05F9" w:rsidRPr="00BF01B9">
          <w:rPr>
            <w:rStyle w:val="Hyperlink"/>
          </w:rPr>
          <w:t>https://news.gallup.com/poll/246170/six-college-experiences-linked-student-confidence-jobs.aspx</w:t>
        </w:r>
      </w:hyperlink>
      <w:r w:rsidR="001D05F9">
        <w:rPr>
          <w:color w:val="000000"/>
        </w:rPr>
        <w:t xml:space="preserve"> </w:t>
      </w:r>
    </w:p>
    <w:p w14:paraId="66D84495" w14:textId="77777777" w:rsidR="006D50C3" w:rsidRPr="00257F7A" w:rsidRDefault="006D50C3" w:rsidP="006D50C3">
      <w:pPr>
        <w:pStyle w:val="NormalWeb"/>
        <w:tabs>
          <w:tab w:val="left" w:pos="360"/>
        </w:tabs>
        <w:spacing w:before="0" w:beforeAutospacing="0" w:after="0" w:afterAutospacing="0"/>
        <w:ind w:left="360" w:hanging="360"/>
      </w:pPr>
    </w:p>
    <w:p w14:paraId="14E22033" w14:textId="6B94F762" w:rsidR="006E6F08" w:rsidRDefault="006E6F08" w:rsidP="006D50C3">
      <w:pPr>
        <w:pStyle w:val="NormalWeb"/>
        <w:tabs>
          <w:tab w:val="left" w:pos="360"/>
        </w:tabs>
        <w:spacing w:before="0" w:beforeAutospacing="0" w:after="0" w:afterAutospacing="0"/>
        <w:ind w:left="360" w:hanging="360"/>
        <w:rPr>
          <w:color w:val="000000"/>
        </w:rPr>
      </w:pPr>
      <w:proofErr w:type="spellStart"/>
      <w:r w:rsidRPr="00257F7A">
        <w:rPr>
          <w:color w:val="000000"/>
        </w:rPr>
        <w:t>DeRosier</w:t>
      </w:r>
      <w:proofErr w:type="spellEnd"/>
      <w:r w:rsidRPr="00257F7A">
        <w:rPr>
          <w:color w:val="000000"/>
        </w:rPr>
        <w:t>, M. E., Frank, E., Schwartz, V., &amp; Leary, K. A. (2013). The potential role of resilience</w:t>
      </w:r>
      <w:r w:rsidR="001D05F9">
        <w:rPr>
          <w:color w:val="000000"/>
        </w:rPr>
        <w:t xml:space="preserve"> </w:t>
      </w:r>
      <w:r w:rsidRPr="00257F7A">
        <w:rPr>
          <w:color w:val="000000"/>
        </w:rPr>
        <w:t xml:space="preserve">education for preventing mental health problems for college students. </w:t>
      </w:r>
      <w:r w:rsidRPr="00257F7A">
        <w:rPr>
          <w:i/>
          <w:iCs/>
          <w:color w:val="000000"/>
        </w:rPr>
        <w:t>Psychiatric Annals</w:t>
      </w:r>
      <w:r w:rsidRPr="00257F7A">
        <w:rPr>
          <w:color w:val="000000"/>
        </w:rPr>
        <w:t>,</w:t>
      </w:r>
      <w:r w:rsidR="001D05F9">
        <w:rPr>
          <w:color w:val="000000"/>
        </w:rPr>
        <w:t xml:space="preserve"> </w:t>
      </w:r>
      <w:r w:rsidRPr="00257F7A">
        <w:rPr>
          <w:i/>
          <w:iCs/>
          <w:color w:val="000000"/>
        </w:rPr>
        <w:t>43</w:t>
      </w:r>
      <w:r w:rsidRPr="00257F7A">
        <w:rPr>
          <w:color w:val="000000"/>
        </w:rPr>
        <w:t xml:space="preserve">(12), 538–544. </w:t>
      </w:r>
      <w:hyperlink r:id="rId26" w:history="1">
        <w:r w:rsidR="00D42FC0" w:rsidRPr="00126DCE">
          <w:rPr>
            <w:rStyle w:val="Hyperlink"/>
          </w:rPr>
          <w:t>https://doi.org/10.3928/00485713-20131206-05</w:t>
        </w:r>
      </w:hyperlink>
    </w:p>
    <w:p w14:paraId="6C354639" w14:textId="77777777" w:rsidR="00D42FC0" w:rsidRPr="00257F7A" w:rsidRDefault="00D42FC0" w:rsidP="006D50C3">
      <w:pPr>
        <w:pStyle w:val="NormalWeb"/>
        <w:tabs>
          <w:tab w:val="left" w:pos="360"/>
        </w:tabs>
        <w:spacing w:before="0" w:beforeAutospacing="0" w:after="0" w:afterAutospacing="0"/>
        <w:ind w:left="360" w:hanging="360"/>
        <w:rPr>
          <w:color w:val="000000"/>
        </w:rPr>
      </w:pPr>
    </w:p>
    <w:p w14:paraId="3534D744" w14:textId="11F6D74E" w:rsidR="00305309" w:rsidRDefault="00305309" w:rsidP="006D50C3">
      <w:pPr>
        <w:pStyle w:val="NormalWeb"/>
        <w:tabs>
          <w:tab w:val="left" w:pos="360"/>
        </w:tabs>
        <w:spacing w:before="0" w:beforeAutospacing="0" w:after="0" w:afterAutospacing="0"/>
        <w:ind w:left="360" w:hanging="360"/>
      </w:pPr>
      <w:r w:rsidRPr="002B3B00">
        <w:rPr>
          <w:highlight w:val="yellow"/>
        </w:rPr>
        <w:t>Duffy, R. D. (2010). Sense of control and career adaptability among undergraduate students. </w:t>
      </w:r>
      <w:r w:rsidRPr="002B3B00">
        <w:rPr>
          <w:i/>
          <w:iCs/>
          <w:highlight w:val="yellow"/>
        </w:rPr>
        <w:t>Journal of Career Assessment</w:t>
      </w:r>
      <w:r w:rsidRPr="002B3B00">
        <w:rPr>
          <w:highlight w:val="yellow"/>
        </w:rPr>
        <w:t>, </w:t>
      </w:r>
      <w:r w:rsidRPr="002B3B00">
        <w:rPr>
          <w:i/>
          <w:iCs/>
          <w:highlight w:val="yellow"/>
        </w:rPr>
        <w:t>18</w:t>
      </w:r>
      <w:r w:rsidRPr="002B3B00">
        <w:rPr>
          <w:highlight w:val="yellow"/>
        </w:rPr>
        <w:t xml:space="preserve">(4), 420-430. </w:t>
      </w:r>
      <w:hyperlink r:id="rId27" w:history="1">
        <w:r w:rsidRPr="002B3B00">
          <w:rPr>
            <w:rStyle w:val="Hyperlink"/>
            <w:highlight w:val="yellow"/>
          </w:rPr>
          <w:t>https://doi.org/10.1177/1069072710374587</w:t>
        </w:r>
      </w:hyperlink>
      <w:r>
        <w:t xml:space="preserve">  </w:t>
      </w:r>
    </w:p>
    <w:p w14:paraId="0C8261B8" w14:textId="77777777" w:rsidR="00305309" w:rsidRDefault="00305309" w:rsidP="006D50C3">
      <w:pPr>
        <w:pStyle w:val="NormalWeb"/>
        <w:tabs>
          <w:tab w:val="left" w:pos="360"/>
        </w:tabs>
        <w:spacing w:before="0" w:beforeAutospacing="0" w:after="0" w:afterAutospacing="0"/>
        <w:ind w:left="360" w:hanging="360"/>
      </w:pPr>
    </w:p>
    <w:p w14:paraId="36C4496E" w14:textId="47330CE4" w:rsidR="00FE3E1C" w:rsidRDefault="00FE3E1C" w:rsidP="006D50C3">
      <w:pPr>
        <w:pStyle w:val="NormalWeb"/>
        <w:tabs>
          <w:tab w:val="left" w:pos="360"/>
        </w:tabs>
        <w:spacing w:before="0" w:beforeAutospacing="0" w:after="0" w:afterAutospacing="0"/>
        <w:ind w:left="360" w:hanging="360"/>
      </w:pPr>
      <w:r w:rsidRPr="00257F7A">
        <w:t xml:space="preserve">Eichelberger, B., Mattioli, H., &amp; </w:t>
      </w:r>
      <w:proofErr w:type="spellStart"/>
      <w:r w:rsidRPr="00257F7A">
        <w:t>Foxhoven</w:t>
      </w:r>
      <w:proofErr w:type="spellEnd"/>
      <w:r w:rsidRPr="00257F7A">
        <w:t xml:space="preserve">, R. (2017). Uncovering </w:t>
      </w:r>
      <w:r w:rsidR="006E572C">
        <w:t>b</w:t>
      </w:r>
      <w:r w:rsidRPr="00257F7A">
        <w:t xml:space="preserve">arriers to </w:t>
      </w:r>
      <w:r w:rsidR="006E572C">
        <w:t>f</w:t>
      </w:r>
      <w:r w:rsidRPr="00257F7A">
        <w:t>inancial</w:t>
      </w:r>
      <w:r w:rsidR="00D82405">
        <w:t xml:space="preserve"> </w:t>
      </w:r>
      <w:r w:rsidR="006E572C">
        <w:t>c</w:t>
      </w:r>
      <w:r w:rsidRPr="00257F7A">
        <w:t xml:space="preserve">apability: Underrepresented </w:t>
      </w:r>
      <w:r w:rsidR="006E572C">
        <w:t>s</w:t>
      </w:r>
      <w:r w:rsidRPr="00257F7A">
        <w:t xml:space="preserve">tudents’ </w:t>
      </w:r>
      <w:r w:rsidR="006E572C">
        <w:t>a</w:t>
      </w:r>
      <w:r w:rsidRPr="00257F7A">
        <w:t xml:space="preserve">ccess to </w:t>
      </w:r>
      <w:r w:rsidR="006E572C">
        <w:t>f</w:t>
      </w:r>
      <w:r w:rsidRPr="00257F7A">
        <w:t xml:space="preserve">inancial </w:t>
      </w:r>
      <w:r w:rsidR="006E572C">
        <w:t>r</w:t>
      </w:r>
      <w:r w:rsidRPr="00257F7A">
        <w:t xml:space="preserve">esources. </w:t>
      </w:r>
      <w:r w:rsidRPr="00B06D14">
        <w:rPr>
          <w:i/>
        </w:rPr>
        <w:t>Journal of Student</w:t>
      </w:r>
      <w:r w:rsidR="00D82405">
        <w:rPr>
          <w:i/>
        </w:rPr>
        <w:t xml:space="preserve"> </w:t>
      </w:r>
      <w:r w:rsidRPr="00B06D14">
        <w:rPr>
          <w:i/>
        </w:rPr>
        <w:t>Financial Aid, 47</w:t>
      </w:r>
      <w:r w:rsidRPr="00257F7A">
        <w:t xml:space="preserve">(3). </w:t>
      </w:r>
      <w:hyperlink r:id="rId28" w:history="1">
        <w:r w:rsidR="00D42FC0" w:rsidRPr="00126DCE">
          <w:rPr>
            <w:rStyle w:val="Hyperlink"/>
          </w:rPr>
          <w:t>https://eric.ed.gov/?id=EJ1160090</w:t>
        </w:r>
      </w:hyperlink>
    </w:p>
    <w:p w14:paraId="7B8E87B6" w14:textId="77777777" w:rsidR="00D42FC0" w:rsidRPr="00B06D14" w:rsidRDefault="00D42FC0" w:rsidP="006D50C3">
      <w:pPr>
        <w:pStyle w:val="NormalWeb"/>
        <w:tabs>
          <w:tab w:val="left" w:pos="360"/>
        </w:tabs>
        <w:spacing w:before="0" w:beforeAutospacing="0" w:after="0" w:afterAutospacing="0"/>
        <w:ind w:left="360" w:hanging="360"/>
        <w:rPr>
          <w:i/>
        </w:rPr>
      </w:pPr>
    </w:p>
    <w:p w14:paraId="3BAA20DA" w14:textId="5A487108" w:rsidR="009C41FB" w:rsidRDefault="009C41FB" w:rsidP="006D50C3">
      <w:pPr>
        <w:pStyle w:val="Bibliography"/>
        <w:tabs>
          <w:tab w:val="left" w:pos="360"/>
        </w:tabs>
        <w:ind w:left="360" w:hanging="360"/>
        <w:rPr>
          <w:rStyle w:val="Hyperlink"/>
        </w:rPr>
      </w:pPr>
      <w:r w:rsidRPr="00257F7A">
        <w:t xml:space="preserve">Eisenberg, D., Lipson, S. K., &amp; </w:t>
      </w:r>
      <w:proofErr w:type="spellStart"/>
      <w:r w:rsidRPr="00257F7A">
        <w:t>Posselt</w:t>
      </w:r>
      <w:proofErr w:type="spellEnd"/>
      <w:r w:rsidRPr="00257F7A">
        <w:t xml:space="preserve">, J. (2016). Promoting </w:t>
      </w:r>
      <w:r w:rsidR="0082354A">
        <w:t>r</w:t>
      </w:r>
      <w:r w:rsidRPr="00257F7A">
        <w:t xml:space="preserve">esilience, </w:t>
      </w:r>
      <w:r w:rsidR="0082354A">
        <w:t>r</w:t>
      </w:r>
      <w:r w:rsidRPr="00257F7A">
        <w:t xml:space="preserve">etention, and </w:t>
      </w:r>
      <w:r w:rsidR="0082354A">
        <w:t>m</w:t>
      </w:r>
      <w:r w:rsidRPr="00257F7A">
        <w:t>ental</w:t>
      </w:r>
      <w:r w:rsidR="00D82405">
        <w:t xml:space="preserve"> </w:t>
      </w:r>
      <w:r w:rsidR="0082354A">
        <w:t>h</w:t>
      </w:r>
      <w:r w:rsidRPr="00257F7A">
        <w:t xml:space="preserve">ealth. </w:t>
      </w:r>
      <w:r w:rsidRPr="00257F7A">
        <w:rPr>
          <w:i/>
          <w:iCs/>
        </w:rPr>
        <w:t>New Directions for Student Services</w:t>
      </w:r>
      <w:r w:rsidRPr="00257F7A">
        <w:t xml:space="preserve">, </w:t>
      </w:r>
      <w:r w:rsidRPr="002E5482">
        <w:rPr>
          <w:i/>
          <w:iCs/>
        </w:rPr>
        <w:t>156</w:t>
      </w:r>
      <w:r w:rsidRPr="00257F7A">
        <w:t>, 87–95</w:t>
      </w:r>
      <w:r w:rsidR="00D82405">
        <w:t xml:space="preserve">. </w:t>
      </w:r>
      <w:hyperlink r:id="rId29" w:history="1">
        <w:r w:rsidR="00D82405" w:rsidRPr="00BF01B9">
          <w:rPr>
            <w:rStyle w:val="Hyperlink"/>
          </w:rPr>
          <w:t>https://doi.org/10.1002/ss.20194</w:t>
        </w:r>
      </w:hyperlink>
    </w:p>
    <w:p w14:paraId="0E26DD7A" w14:textId="4258B48E" w:rsidR="00551C41" w:rsidRDefault="00551C41" w:rsidP="00551C41"/>
    <w:p w14:paraId="6013813A" w14:textId="492DF02F" w:rsidR="00551C41" w:rsidRPr="00551C41" w:rsidRDefault="00551C41" w:rsidP="00837789">
      <w:pPr>
        <w:ind w:left="360" w:hanging="360"/>
      </w:pPr>
      <w:r w:rsidRPr="00551C41">
        <w:t>Everett, J. B., &amp; Bischoff, M. (2021). Creating Connections: Engaging Student Library Employees through Experiential Learning. </w:t>
      </w:r>
      <w:r w:rsidRPr="00551C41">
        <w:rPr>
          <w:i/>
          <w:iCs/>
        </w:rPr>
        <w:t>Journal of Library Administration</w:t>
      </w:r>
      <w:r w:rsidRPr="00551C41">
        <w:t>, </w:t>
      </w:r>
      <w:r w:rsidRPr="00551C41">
        <w:rPr>
          <w:i/>
          <w:iCs/>
        </w:rPr>
        <w:t>61</w:t>
      </w:r>
      <w:r w:rsidRPr="00551C41">
        <w:t>(4), 403-420.</w:t>
      </w:r>
      <w:r>
        <w:t xml:space="preserve"> </w:t>
      </w:r>
      <w:hyperlink r:id="rId30" w:history="1">
        <w:r w:rsidRPr="00625EE6">
          <w:rPr>
            <w:rStyle w:val="Hyperlink"/>
          </w:rPr>
          <w:t>https://doi.org/10.1080/01930826.2021.1906543</w:t>
        </w:r>
      </w:hyperlink>
      <w:r>
        <w:t xml:space="preserve"> </w:t>
      </w:r>
    </w:p>
    <w:p w14:paraId="13271553" w14:textId="77777777" w:rsidR="00E06AD2" w:rsidRPr="00E06AD2" w:rsidRDefault="00E06AD2" w:rsidP="00E06AD2">
      <w:pPr>
        <w:pStyle w:val="NormalWeb"/>
        <w:tabs>
          <w:tab w:val="left" w:pos="360"/>
        </w:tabs>
        <w:ind w:left="360" w:hanging="360"/>
        <w:rPr>
          <w:color w:val="000000"/>
        </w:rPr>
      </w:pPr>
      <w:proofErr w:type="spellStart"/>
      <w:r w:rsidRPr="00E06AD2">
        <w:rPr>
          <w:color w:val="000000"/>
          <w:highlight w:val="yellow"/>
        </w:rPr>
        <w:t>Faul</w:t>
      </w:r>
      <w:proofErr w:type="spellEnd"/>
      <w:r w:rsidRPr="00E06AD2">
        <w:rPr>
          <w:color w:val="000000"/>
          <w:highlight w:val="yellow"/>
        </w:rPr>
        <w:t xml:space="preserve">, F., </w:t>
      </w:r>
      <w:proofErr w:type="spellStart"/>
      <w:r w:rsidRPr="00E06AD2">
        <w:rPr>
          <w:color w:val="000000"/>
          <w:highlight w:val="yellow"/>
        </w:rPr>
        <w:t>Erdfelder</w:t>
      </w:r>
      <w:proofErr w:type="spellEnd"/>
      <w:r w:rsidRPr="00E06AD2">
        <w:rPr>
          <w:color w:val="000000"/>
          <w:highlight w:val="yellow"/>
        </w:rPr>
        <w:t xml:space="preserve">, E., Lang, A.-G., &amp; Buchner, A. (2007). G*Power 3: A flexible statistical power analysis program for the social, behavioral, and biomedical sciences. </w:t>
      </w:r>
      <w:r w:rsidRPr="00E06AD2">
        <w:rPr>
          <w:i/>
          <w:iCs/>
          <w:color w:val="000000"/>
          <w:highlight w:val="yellow"/>
        </w:rPr>
        <w:t xml:space="preserve">Behavior Research Methods, 39, </w:t>
      </w:r>
      <w:r w:rsidRPr="00E06AD2">
        <w:rPr>
          <w:color w:val="000000"/>
          <w:highlight w:val="yellow"/>
        </w:rPr>
        <w:t xml:space="preserve">175–191. </w:t>
      </w:r>
      <w:hyperlink r:id="rId31" w:tgtFrame="_blank" w:history="1">
        <w:r w:rsidRPr="00E06AD2">
          <w:rPr>
            <w:rStyle w:val="Hyperlink"/>
            <w:highlight w:val="yellow"/>
          </w:rPr>
          <w:t>https://doi.org/10.3758/BF03193146</w:t>
        </w:r>
      </w:hyperlink>
    </w:p>
    <w:p w14:paraId="41F9F8AD" w14:textId="76170E70" w:rsidR="006E6F08" w:rsidRDefault="006E6F08" w:rsidP="006D50C3">
      <w:pPr>
        <w:pStyle w:val="NormalWeb"/>
        <w:tabs>
          <w:tab w:val="left" w:pos="360"/>
        </w:tabs>
        <w:spacing w:before="0" w:beforeAutospacing="0" w:after="0" w:afterAutospacing="0"/>
        <w:ind w:left="360" w:hanging="360"/>
      </w:pPr>
      <w:r w:rsidRPr="00257F7A">
        <w:rPr>
          <w:color w:val="000000"/>
        </w:rPr>
        <w:t xml:space="preserve">Fischer, M. J. (2007). Settling into </w:t>
      </w:r>
      <w:r w:rsidR="0082354A">
        <w:rPr>
          <w:color w:val="000000"/>
        </w:rPr>
        <w:t>c</w:t>
      </w:r>
      <w:r w:rsidRPr="00257F7A">
        <w:rPr>
          <w:color w:val="000000"/>
        </w:rPr>
        <w:t xml:space="preserve">ampus </w:t>
      </w:r>
      <w:r w:rsidR="0036117B">
        <w:rPr>
          <w:color w:val="000000"/>
        </w:rPr>
        <w:t>l</w:t>
      </w:r>
      <w:r w:rsidRPr="00257F7A">
        <w:rPr>
          <w:color w:val="000000"/>
        </w:rPr>
        <w:t xml:space="preserve">ife: Differences by </w:t>
      </w:r>
      <w:r w:rsidR="0036117B">
        <w:rPr>
          <w:color w:val="000000"/>
        </w:rPr>
        <w:t>r</w:t>
      </w:r>
      <w:r w:rsidRPr="00257F7A">
        <w:rPr>
          <w:color w:val="000000"/>
        </w:rPr>
        <w:t>ace/</w:t>
      </w:r>
      <w:r w:rsidR="0036117B">
        <w:rPr>
          <w:color w:val="000000"/>
        </w:rPr>
        <w:t>e</w:t>
      </w:r>
      <w:r w:rsidRPr="00257F7A">
        <w:rPr>
          <w:color w:val="000000"/>
        </w:rPr>
        <w:t xml:space="preserve">thnicity in </w:t>
      </w:r>
      <w:r w:rsidR="0036117B">
        <w:rPr>
          <w:color w:val="000000"/>
        </w:rPr>
        <w:t>c</w:t>
      </w:r>
      <w:r w:rsidRPr="00257F7A">
        <w:rPr>
          <w:color w:val="000000"/>
        </w:rPr>
        <w:t>ollege</w:t>
      </w:r>
      <w:r w:rsidR="00D82405">
        <w:rPr>
          <w:color w:val="000000"/>
        </w:rPr>
        <w:t xml:space="preserve"> </w:t>
      </w:r>
      <w:r w:rsidR="0036117B">
        <w:rPr>
          <w:color w:val="000000"/>
        </w:rPr>
        <w:t>i</w:t>
      </w:r>
      <w:r w:rsidRPr="00257F7A">
        <w:rPr>
          <w:color w:val="000000"/>
        </w:rPr>
        <w:t xml:space="preserve">nvolvement and </w:t>
      </w:r>
      <w:r w:rsidR="0036117B">
        <w:rPr>
          <w:color w:val="000000"/>
        </w:rPr>
        <w:t>o</w:t>
      </w:r>
      <w:r w:rsidRPr="00257F7A">
        <w:rPr>
          <w:color w:val="000000"/>
        </w:rPr>
        <w:t xml:space="preserve">utcomes. </w:t>
      </w:r>
      <w:r w:rsidRPr="00257F7A">
        <w:rPr>
          <w:i/>
          <w:iCs/>
          <w:color w:val="000000"/>
        </w:rPr>
        <w:t>The Journal of Higher Education</w:t>
      </w:r>
      <w:r w:rsidRPr="00257F7A">
        <w:rPr>
          <w:color w:val="000000"/>
        </w:rPr>
        <w:t xml:space="preserve">, </w:t>
      </w:r>
      <w:r w:rsidRPr="00257F7A">
        <w:rPr>
          <w:i/>
          <w:iCs/>
          <w:color w:val="000000"/>
        </w:rPr>
        <w:t>78</w:t>
      </w:r>
      <w:r w:rsidRPr="00257F7A">
        <w:rPr>
          <w:color w:val="000000"/>
        </w:rPr>
        <w:t>(2), 125–156.</w:t>
      </w:r>
      <w:r w:rsidR="00D82405">
        <w:rPr>
          <w:color w:val="000000"/>
        </w:rPr>
        <w:t xml:space="preserve"> </w:t>
      </w:r>
      <w:hyperlink r:id="rId32" w:history="1">
        <w:r w:rsidR="00D82405" w:rsidRPr="00BF01B9">
          <w:rPr>
            <w:rStyle w:val="Hyperlink"/>
          </w:rPr>
          <w:t>https://doi.org/10.1353/jhe.2007.0009</w:t>
        </w:r>
      </w:hyperlink>
    </w:p>
    <w:p w14:paraId="1496FD06" w14:textId="77777777" w:rsidR="006D50C3" w:rsidRDefault="006D50C3" w:rsidP="006D50C3">
      <w:pPr>
        <w:tabs>
          <w:tab w:val="left" w:pos="360"/>
        </w:tabs>
        <w:ind w:left="360" w:hanging="360"/>
        <w:rPr>
          <w:color w:val="222222"/>
          <w:shd w:val="clear" w:color="auto" w:fill="FFFFFF"/>
        </w:rPr>
      </w:pPr>
    </w:p>
    <w:p w14:paraId="4BE5C724" w14:textId="63B40D93" w:rsidR="0015077E" w:rsidRPr="0015077E" w:rsidRDefault="0015077E" w:rsidP="006D50C3">
      <w:pPr>
        <w:tabs>
          <w:tab w:val="left" w:pos="360"/>
        </w:tabs>
        <w:ind w:left="360" w:hanging="360"/>
      </w:pPr>
      <w:r w:rsidRPr="0015077E">
        <w:rPr>
          <w:color w:val="222222"/>
          <w:shd w:val="clear" w:color="auto" w:fill="FFFFFF"/>
        </w:rPr>
        <w:t>First, J., First, N. L., &amp; Houston, J. B. (2018). Resilience and coping intervention (RCI): A group</w:t>
      </w:r>
      <w:r w:rsidR="00D82405">
        <w:rPr>
          <w:color w:val="222222"/>
          <w:shd w:val="clear" w:color="auto" w:fill="FFFFFF"/>
        </w:rPr>
        <w:t xml:space="preserve"> </w:t>
      </w:r>
      <w:r w:rsidRPr="0015077E">
        <w:rPr>
          <w:color w:val="222222"/>
          <w:shd w:val="clear" w:color="auto" w:fill="FFFFFF"/>
        </w:rPr>
        <w:t>intervention to foster college student resilience. </w:t>
      </w:r>
      <w:r w:rsidRPr="0015077E">
        <w:rPr>
          <w:i/>
          <w:iCs/>
          <w:color w:val="222222"/>
          <w:shd w:val="clear" w:color="auto" w:fill="FFFFFF"/>
        </w:rPr>
        <w:t>Social Work with Groups</w:t>
      </w:r>
      <w:r w:rsidRPr="0015077E">
        <w:rPr>
          <w:color w:val="222222"/>
          <w:shd w:val="clear" w:color="auto" w:fill="FFFFFF"/>
        </w:rPr>
        <w:t>, </w:t>
      </w:r>
      <w:r w:rsidRPr="0015077E">
        <w:rPr>
          <w:i/>
          <w:iCs/>
          <w:color w:val="222222"/>
          <w:shd w:val="clear" w:color="auto" w:fill="FFFFFF"/>
        </w:rPr>
        <w:t>41</w:t>
      </w:r>
      <w:r w:rsidRPr="0015077E">
        <w:rPr>
          <w:color w:val="222222"/>
          <w:shd w:val="clear" w:color="auto" w:fill="FFFFFF"/>
        </w:rPr>
        <w:t>(3), 198-210.</w:t>
      </w:r>
      <w:r w:rsidR="002E5482">
        <w:rPr>
          <w:color w:val="222222"/>
          <w:shd w:val="clear" w:color="auto" w:fill="FFFFFF"/>
        </w:rPr>
        <w:t xml:space="preserve"> </w:t>
      </w:r>
      <w:hyperlink r:id="rId33" w:history="1">
        <w:r w:rsidR="002E5482" w:rsidRPr="00C250D1">
          <w:rPr>
            <w:rStyle w:val="Hyperlink"/>
            <w:shd w:val="clear" w:color="auto" w:fill="FFFFFF"/>
          </w:rPr>
          <w:t>https://doi.org/10.1080/01609513.2016.1272032</w:t>
        </w:r>
      </w:hyperlink>
      <w:r w:rsidR="002E5482">
        <w:rPr>
          <w:color w:val="222222"/>
          <w:shd w:val="clear" w:color="auto" w:fill="FFFFFF"/>
        </w:rPr>
        <w:t xml:space="preserve"> </w:t>
      </w:r>
    </w:p>
    <w:p w14:paraId="05C8DC5F" w14:textId="77777777" w:rsidR="0015077E" w:rsidRDefault="0015077E" w:rsidP="006D50C3">
      <w:pPr>
        <w:pStyle w:val="NormalWeb"/>
        <w:tabs>
          <w:tab w:val="left" w:pos="360"/>
        </w:tabs>
        <w:spacing w:before="0" w:beforeAutospacing="0" w:after="0" w:afterAutospacing="0"/>
        <w:ind w:left="360" w:hanging="360"/>
      </w:pPr>
    </w:p>
    <w:p w14:paraId="3F4D69B7" w14:textId="53B8FB61" w:rsidR="000D0285" w:rsidRDefault="000D0285" w:rsidP="006D50C3">
      <w:pPr>
        <w:pStyle w:val="NormalWeb"/>
        <w:tabs>
          <w:tab w:val="left" w:pos="360"/>
        </w:tabs>
        <w:spacing w:before="0" w:beforeAutospacing="0" w:after="0" w:afterAutospacing="0"/>
        <w:ind w:left="360" w:hanging="360"/>
      </w:pPr>
      <w:proofErr w:type="spellStart"/>
      <w:r w:rsidRPr="00257F7A">
        <w:lastRenderedPageBreak/>
        <w:t>Freligh</w:t>
      </w:r>
      <w:proofErr w:type="spellEnd"/>
      <w:r w:rsidRPr="00257F7A">
        <w:t xml:space="preserve">, C. B., &amp; Debb, S. M. (2019). Nonreactivity and </w:t>
      </w:r>
      <w:r w:rsidR="0036117B">
        <w:t>r</w:t>
      </w:r>
      <w:r w:rsidRPr="00257F7A">
        <w:t xml:space="preserve">esilience to </w:t>
      </w:r>
      <w:r w:rsidR="0036117B">
        <w:t>s</w:t>
      </w:r>
      <w:r w:rsidRPr="00257F7A">
        <w:t>tress: Gauging the</w:t>
      </w:r>
      <w:r w:rsidR="00D82405">
        <w:t xml:space="preserve"> </w:t>
      </w:r>
      <w:r w:rsidR="0036117B">
        <w:t>m</w:t>
      </w:r>
      <w:r w:rsidRPr="00257F7A">
        <w:t xml:space="preserve">indfulness of African American </w:t>
      </w:r>
      <w:r w:rsidR="0036117B">
        <w:t>c</w:t>
      </w:r>
      <w:r w:rsidRPr="00257F7A">
        <w:t xml:space="preserve">ollege </w:t>
      </w:r>
      <w:r w:rsidR="0036117B">
        <w:t>s</w:t>
      </w:r>
      <w:r w:rsidRPr="00257F7A">
        <w:t xml:space="preserve">tudents. </w:t>
      </w:r>
      <w:r w:rsidRPr="00257F7A">
        <w:rPr>
          <w:i/>
          <w:iCs/>
        </w:rPr>
        <w:t>Mindfulness,</w:t>
      </w:r>
      <w:r w:rsidRPr="00257F7A">
        <w:t xml:space="preserve"> </w:t>
      </w:r>
      <w:r w:rsidRPr="00257F7A">
        <w:rPr>
          <w:i/>
          <w:iCs/>
        </w:rPr>
        <w:t>10</w:t>
      </w:r>
      <w:r w:rsidRPr="00257F7A">
        <w:t>(11), 2302–2311.</w:t>
      </w:r>
      <w:r w:rsidR="00D82405">
        <w:t xml:space="preserve"> </w:t>
      </w:r>
      <w:hyperlink r:id="rId34" w:history="1">
        <w:r w:rsidR="00733D86" w:rsidRPr="00BF01B9">
          <w:rPr>
            <w:rStyle w:val="Hyperlink"/>
          </w:rPr>
          <w:t>https://doi.org/10.1007/s12671-019-01203-w</w:t>
        </w:r>
      </w:hyperlink>
    </w:p>
    <w:p w14:paraId="421BD628" w14:textId="77777777" w:rsidR="00D42FC0" w:rsidRPr="00257F7A" w:rsidRDefault="00D42FC0" w:rsidP="006D50C3">
      <w:pPr>
        <w:pStyle w:val="NormalWeb"/>
        <w:tabs>
          <w:tab w:val="left" w:pos="360"/>
        </w:tabs>
        <w:spacing w:before="0" w:beforeAutospacing="0" w:after="0" w:afterAutospacing="0"/>
        <w:ind w:left="360" w:hanging="360"/>
      </w:pPr>
    </w:p>
    <w:p w14:paraId="6507B602" w14:textId="4E7B624F" w:rsidR="00B829D2" w:rsidRDefault="00B829D2" w:rsidP="006D50C3">
      <w:pPr>
        <w:pStyle w:val="NormalWeb"/>
        <w:tabs>
          <w:tab w:val="left" w:pos="360"/>
        </w:tabs>
        <w:spacing w:before="0" w:beforeAutospacing="0" w:after="0" w:afterAutospacing="0"/>
        <w:ind w:left="360" w:hanging="360"/>
      </w:pPr>
      <w:r w:rsidRPr="00257F7A">
        <w:t xml:space="preserve">Gallup-Purdue Index. (2014). Great jobs great lives. Gallup. </w:t>
      </w:r>
      <w:hyperlink r:id="rId35" w:history="1">
        <w:r w:rsidR="00B353A0" w:rsidRPr="00BF01B9">
          <w:rPr>
            <w:rStyle w:val="Hyperlink"/>
          </w:rPr>
          <w:t>https://www.luminafoundation.org/files/resources/galluppurdueindex-report-2014.pdf</w:t>
        </w:r>
      </w:hyperlink>
      <w:r w:rsidR="00B353A0">
        <w:t xml:space="preserve"> </w:t>
      </w:r>
    </w:p>
    <w:p w14:paraId="6EEE5BF6" w14:textId="77777777" w:rsidR="00D42FC0" w:rsidRPr="00257F7A" w:rsidRDefault="00D42FC0" w:rsidP="006D50C3">
      <w:pPr>
        <w:pStyle w:val="NormalWeb"/>
        <w:tabs>
          <w:tab w:val="left" w:pos="360"/>
        </w:tabs>
        <w:spacing w:before="0" w:beforeAutospacing="0" w:after="0" w:afterAutospacing="0"/>
        <w:ind w:left="360" w:hanging="360"/>
      </w:pPr>
    </w:p>
    <w:p w14:paraId="2DC5EEDF" w14:textId="784FBE99"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Garriott, P. O., &amp; </w:t>
      </w:r>
      <w:proofErr w:type="spellStart"/>
      <w:r w:rsidRPr="00257F7A">
        <w:rPr>
          <w:color w:val="000000"/>
        </w:rPr>
        <w:t>Nisle</w:t>
      </w:r>
      <w:proofErr w:type="spellEnd"/>
      <w:r w:rsidRPr="00257F7A">
        <w:rPr>
          <w:color w:val="000000"/>
        </w:rPr>
        <w:t>, S. (2018). Stress, coping, and perceived academic goal progress in first</w:t>
      </w:r>
      <w:r w:rsidR="00B353A0">
        <w:rPr>
          <w:color w:val="000000"/>
        </w:rPr>
        <w:t>-</w:t>
      </w:r>
      <w:r w:rsidRPr="00257F7A">
        <w:rPr>
          <w:color w:val="000000"/>
        </w:rPr>
        <w:t xml:space="preserve">generation college students: The role of institutional supports. </w:t>
      </w:r>
      <w:r w:rsidRPr="00257F7A">
        <w:rPr>
          <w:i/>
          <w:iCs/>
          <w:color w:val="000000"/>
        </w:rPr>
        <w:t xml:space="preserve">Journal of Diversity in </w:t>
      </w:r>
      <w:r w:rsidRPr="00257F7A">
        <w:rPr>
          <w:i/>
          <w:iCs/>
          <w:color w:val="000000"/>
        </w:rPr>
        <w:tab/>
        <w:t>Higher Education</w:t>
      </w:r>
      <w:r w:rsidRPr="00257F7A">
        <w:rPr>
          <w:color w:val="000000"/>
        </w:rPr>
        <w:t xml:space="preserve">, </w:t>
      </w:r>
      <w:r w:rsidRPr="00257F7A">
        <w:rPr>
          <w:i/>
          <w:iCs/>
          <w:color w:val="000000"/>
        </w:rPr>
        <w:t>11</w:t>
      </w:r>
      <w:r w:rsidRPr="00257F7A">
        <w:rPr>
          <w:color w:val="000000"/>
        </w:rPr>
        <w:t xml:space="preserve">(4), 436–450. </w:t>
      </w:r>
      <w:hyperlink r:id="rId36" w:history="1">
        <w:r w:rsidR="00D42FC0" w:rsidRPr="00126DCE">
          <w:rPr>
            <w:rStyle w:val="Hyperlink"/>
          </w:rPr>
          <w:t>https://doi.org/10.1037/dhe0000068</w:t>
        </w:r>
      </w:hyperlink>
    </w:p>
    <w:p w14:paraId="750694CC" w14:textId="77777777" w:rsidR="00D42FC0" w:rsidRPr="00257F7A" w:rsidRDefault="00D42FC0" w:rsidP="006D50C3">
      <w:pPr>
        <w:pStyle w:val="NormalWeb"/>
        <w:tabs>
          <w:tab w:val="left" w:pos="360"/>
        </w:tabs>
        <w:spacing w:before="0" w:beforeAutospacing="0" w:after="0" w:afterAutospacing="0"/>
        <w:ind w:left="360" w:hanging="360"/>
      </w:pPr>
    </w:p>
    <w:p w14:paraId="1D69BBAD" w14:textId="72E1EAA9" w:rsidR="006E6F08" w:rsidRDefault="006E6F08" w:rsidP="006D50C3">
      <w:pPr>
        <w:pStyle w:val="NormalWeb"/>
        <w:tabs>
          <w:tab w:val="left" w:pos="360"/>
        </w:tabs>
        <w:spacing w:before="0" w:beforeAutospacing="0" w:after="0" w:afterAutospacing="0"/>
        <w:ind w:left="360" w:hanging="360"/>
        <w:rPr>
          <w:rStyle w:val="Hyperlink"/>
        </w:rPr>
      </w:pPr>
      <w:r w:rsidRPr="00257F7A">
        <w:rPr>
          <w:color w:val="000000"/>
        </w:rPr>
        <w:t xml:space="preserve">Greeson, J. K. P. (2013). Foster </w:t>
      </w:r>
      <w:r w:rsidR="0036117B">
        <w:rPr>
          <w:color w:val="000000"/>
        </w:rPr>
        <w:t>y</w:t>
      </w:r>
      <w:r w:rsidRPr="00257F7A">
        <w:rPr>
          <w:color w:val="000000"/>
        </w:rPr>
        <w:t xml:space="preserve">outh and the </w:t>
      </w:r>
      <w:r w:rsidR="0036117B">
        <w:rPr>
          <w:color w:val="000000"/>
        </w:rPr>
        <w:t>t</w:t>
      </w:r>
      <w:r w:rsidRPr="00257F7A">
        <w:rPr>
          <w:color w:val="000000"/>
        </w:rPr>
        <w:t xml:space="preserve">ransition to </w:t>
      </w:r>
      <w:r w:rsidR="0036117B">
        <w:rPr>
          <w:color w:val="000000"/>
        </w:rPr>
        <w:t>a</w:t>
      </w:r>
      <w:r w:rsidRPr="00257F7A">
        <w:rPr>
          <w:color w:val="000000"/>
        </w:rPr>
        <w:t xml:space="preserve">dulthood: The </w:t>
      </w:r>
      <w:r w:rsidR="0036117B">
        <w:rPr>
          <w:color w:val="000000"/>
        </w:rPr>
        <w:t>t</w:t>
      </w:r>
      <w:r w:rsidRPr="00257F7A">
        <w:rPr>
          <w:color w:val="000000"/>
        </w:rPr>
        <w:t xml:space="preserve">heoretical and </w:t>
      </w:r>
      <w:r w:rsidR="0036117B">
        <w:rPr>
          <w:color w:val="000000"/>
        </w:rPr>
        <w:t>c</w:t>
      </w:r>
      <w:r w:rsidRPr="00257F7A">
        <w:rPr>
          <w:color w:val="000000"/>
        </w:rPr>
        <w:t xml:space="preserve">onceptual </w:t>
      </w:r>
      <w:r w:rsidR="0036117B">
        <w:rPr>
          <w:color w:val="000000"/>
        </w:rPr>
        <w:t>b</w:t>
      </w:r>
      <w:r w:rsidRPr="00257F7A">
        <w:rPr>
          <w:color w:val="000000"/>
        </w:rPr>
        <w:t xml:space="preserve">asis for </w:t>
      </w:r>
      <w:r w:rsidR="0036117B">
        <w:rPr>
          <w:color w:val="000000"/>
        </w:rPr>
        <w:t>n</w:t>
      </w:r>
      <w:r w:rsidRPr="00257F7A">
        <w:rPr>
          <w:color w:val="000000"/>
        </w:rPr>
        <w:t xml:space="preserve">atural </w:t>
      </w:r>
      <w:r w:rsidR="0036117B">
        <w:rPr>
          <w:color w:val="000000"/>
        </w:rPr>
        <w:t>m</w:t>
      </w:r>
      <w:r w:rsidRPr="00257F7A">
        <w:rPr>
          <w:color w:val="000000"/>
        </w:rPr>
        <w:t xml:space="preserve">entoring. </w:t>
      </w:r>
      <w:r w:rsidRPr="00257F7A">
        <w:rPr>
          <w:i/>
          <w:iCs/>
          <w:color w:val="000000"/>
        </w:rPr>
        <w:t>Emerging Adulthood</w:t>
      </w:r>
      <w:r w:rsidRPr="00257F7A">
        <w:rPr>
          <w:color w:val="000000"/>
        </w:rPr>
        <w:t xml:space="preserve">, </w:t>
      </w:r>
      <w:r w:rsidRPr="00257F7A">
        <w:rPr>
          <w:i/>
          <w:iCs/>
          <w:color w:val="000000"/>
        </w:rPr>
        <w:t>1</w:t>
      </w:r>
      <w:r w:rsidRPr="00257F7A">
        <w:rPr>
          <w:color w:val="000000"/>
        </w:rPr>
        <w:t xml:space="preserve">(1), 40–51. </w:t>
      </w:r>
      <w:hyperlink r:id="rId37" w:history="1">
        <w:r w:rsidR="00B353A0" w:rsidRPr="00BF01B9">
          <w:rPr>
            <w:rStyle w:val="Hyperlink"/>
          </w:rPr>
          <w:t>https://doi.org/10.1177/2167696812467780</w:t>
        </w:r>
      </w:hyperlink>
    </w:p>
    <w:p w14:paraId="1F758788" w14:textId="7ADD2ABE" w:rsidR="00906B9D" w:rsidRDefault="00906B9D" w:rsidP="006D50C3">
      <w:pPr>
        <w:pStyle w:val="NormalWeb"/>
        <w:tabs>
          <w:tab w:val="left" w:pos="360"/>
        </w:tabs>
        <w:spacing w:before="0" w:beforeAutospacing="0" w:after="0" w:afterAutospacing="0"/>
        <w:ind w:left="360" w:hanging="360"/>
        <w:rPr>
          <w:rStyle w:val="Hyperlink"/>
        </w:rPr>
      </w:pPr>
    </w:p>
    <w:p w14:paraId="11BDC006" w14:textId="57B9748E" w:rsidR="00906B9D" w:rsidRDefault="00906B9D" w:rsidP="006D50C3">
      <w:pPr>
        <w:pStyle w:val="NormalWeb"/>
        <w:tabs>
          <w:tab w:val="left" w:pos="360"/>
        </w:tabs>
        <w:spacing w:before="0" w:beforeAutospacing="0" w:after="0" w:afterAutospacing="0"/>
        <w:ind w:left="360" w:hanging="360"/>
      </w:pPr>
      <w:r w:rsidRPr="00906B9D">
        <w:t>Hagler, M. A., Christensen, K. M., &amp; Rhodes, J. E. (2021). A Longitudinal Investigation of First-Generation College Students’ Mentoring Relationships During Their Transition to Higher Education. </w:t>
      </w:r>
      <w:r w:rsidRPr="00906B9D">
        <w:rPr>
          <w:i/>
          <w:iCs/>
        </w:rPr>
        <w:t>Journal of College Student Retention: Research, Theory &amp; Practice</w:t>
      </w:r>
      <w:r w:rsidRPr="00906B9D">
        <w:t xml:space="preserve">, </w:t>
      </w:r>
      <w:hyperlink r:id="rId38" w:history="1">
        <w:r w:rsidRPr="002F7ABC">
          <w:rPr>
            <w:rStyle w:val="Hyperlink"/>
          </w:rPr>
          <w:t>https://doi.org/15210251211022741</w:t>
        </w:r>
      </w:hyperlink>
      <w:r>
        <w:t>.</w:t>
      </w:r>
    </w:p>
    <w:p w14:paraId="0B19E325" w14:textId="77777777" w:rsidR="00D42FC0" w:rsidRPr="00257F7A" w:rsidRDefault="00D42FC0" w:rsidP="006D50C3">
      <w:pPr>
        <w:pStyle w:val="NormalWeb"/>
        <w:tabs>
          <w:tab w:val="left" w:pos="360"/>
        </w:tabs>
        <w:spacing w:before="0" w:beforeAutospacing="0" w:after="0" w:afterAutospacing="0"/>
        <w:ind w:left="360" w:hanging="360"/>
        <w:rPr>
          <w:color w:val="000000"/>
        </w:rPr>
      </w:pPr>
    </w:p>
    <w:p w14:paraId="2BA88283" w14:textId="3A53EE0A" w:rsidR="009E4D85" w:rsidRDefault="009E4D85" w:rsidP="006D50C3">
      <w:pPr>
        <w:pStyle w:val="NormalWeb"/>
        <w:tabs>
          <w:tab w:val="left" w:pos="360"/>
        </w:tabs>
        <w:spacing w:before="0" w:beforeAutospacing="0" w:after="0" w:afterAutospacing="0"/>
        <w:ind w:left="360" w:hanging="360"/>
      </w:pPr>
      <w:r>
        <w:t>H</w:t>
      </w:r>
      <w:r w:rsidRPr="009E4D85">
        <w:t xml:space="preserve">anson, J. M., </w:t>
      </w:r>
      <w:proofErr w:type="spellStart"/>
      <w:r w:rsidRPr="009E4D85">
        <w:t>Trolian</w:t>
      </w:r>
      <w:proofErr w:type="spellEnd"/>
      <w:r w:rsidRPr="009E4D85">
        <w:t xml:space="preserve">, T. L., Paulsen, M. B., &amp; Pascarella, E. T. (2016). Evaluating the influence of peer learning on psychological well-being. </w:t>
      </w:r>
      <w:r w:rsidRPr="009E4D85">
        <w:rPr>
          <w:i/>
          <w:iCs/>
        </w:rPr>
        <w:t>Teaching in Higher Education</w:t>
      </w:r>
      <w:r w:rsidRPr="009E4D85">
        <w:t xml:space="preserve">, </w:t>
      </w:r>
      <w:r w:rsidRPr="009E4D85">
        <w:rPr>
          <w:i/>
          <w:iCs/>
        </w:rPr>
        <w:t>21</w:t>
      </w:r>
      <w:r w:rsidRPr="009E4D85">
        <w:t xml:space="preserve">(2), 191–206. </w:t>
      </w:r>
      <w:hyperlink r:id="rId39" w:history="1">
        <w:r w:rsidR="00D42FC0" w:rsidRPr="00126DCE">
          <w:rPr>
            <w:rStyle w:val="Hyperlink"/>
          </w:rPr>
          <w:t>https://doi.org/10.1080/13562517.2015.1136274</w:t>
        </w:r>
      </w:hyperlink>
    </w:p>
    <w:p w14:paraId="34B13CF0" w14:textId="77777777" w:rsidR="00D42FC0" w:rsidRPr="00257F7A" w:rsidRDefault="00D42FC0" w:rsidP="006D50C3">
      <w:pPr>
        <w:pStyle w:val="NormalWeb"/>
        <w:tabs>
          <w:tab w:val="left" w:pos="360"/>
        </w:tabs>
        <w:spacing w:before="0" w:beforeAutospacing="0" w:after="0" w:afterAutospacing="0"/>
        <w:ind w:left="360" w:hanging="360"/>
      </w:pPr>
    </w:p>
    <w:p w14:paraId="7C51AD71" w14:textId="629AA3FC"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Hartley, M. T. (2012). Assessing and </w:t>
      </w:r>
      <w:r w:rsidR="0036117B">
        <w:rPr>
          <w:color w:val="000000"/>
        </w:rPr>
        <w:t>p</w:t>
      </w:r>
      <w:r w:rsidRPr="00257F7A">
        <w:rPr>
          <w:color w:val="000000"/>
        </w:rPr>
        <w:t xml:space="preserve">romoting </w:t>
      </w:r>
      <w:r w:rsidR="0036117B">
        <w:rPr>
          <w:color w:val="000000"/>
        </w:rPr>
        <w:t>r</w:t>
      </w:r>
      <w:r w:rsidRPr="00257F7A">
        <w:rPr>
          <w:color w:val="000000"/>
        </w:rPr>
        <w:t xml:space="preserve">esilience: An </w:t>
      </w:r>
      <w:r w:rsidR="0036117B">
        <w:rPr>
          <w:color w:val="000000"/>
        </w:rPr>
        <w:t>a</w:t>
      </w:r>
      <w:r w:rsidRPr="00257F7A">
        <w:rPr>
          <w:color w:val="000000"/>
        </w:rPr>
        <w:t xml:space="preserve">dditional </w:t>
      </w:r>
      <w:r w:rsidR="0036117B">
        <w:rPr>
          <w:color w:val="000000"/>
        </w:rPr>
        <w:t>t</w:t>
      </w:r>
      <w:r w:rsidRPr="00257F7A">
        <w:rPr>
          <w:color w:val="000000"/>
        </w:rPr>
        <w:t xml:space="preserve">ool to </w:t>
      </w:r>
      <w:r w:rsidR="0036117B">
        <w:rPr>
          <w:color w:val="000000"/>
        </w:rPr>
        <w:t>a</w:t>
      </w:r>
      <w:r w:rsidRPr="00257F7A">
        <w:rPr>
          <w:color w:val="000000"/>
        </w:rPr>
        <w:t xml:space="preserve">ddress the </w:t>
      </w:r>
      <w:r w:rsidR="0036117B">
        <w:rPr>
          <w:color w:val="000000"/>
        </w:rPr>
        <w:t>i</w:t>
      </w:r>
      <w:r w:rsidRPr="00257F7A">
        <w:rPr>
          <w:color w:val="000000"/>
        </w:rPr>
        <w:t xml:space="preserve">ncreasing </w:t>
      </w:r>
      <w:r w:rsidR="0036117B">
        <w:rPr>
          <w:color w:val="000000"/>
        </w:rPr>
        <w:t>n</w:t>
      </w:r>
      <w:r w:rsidRPr="00257F7A">
        <w:rPr>
          <w:color w:val="000000"/>
        </w:rPr>
        <w:t xml:space="preserve">umber of </w:t>
      </w:r>
      <w:r w:rsidR="0036117B">
        <w:rPr>
          <w:color w:val="000000"/>
        </w:rPr>
        <w:t>c</w:t>
      </w:r>
      <w:r w:rsidRPr="00257F7A">
        <w:rPr>
          <w:color w:val="000000"/>
        </w:rPr>
        <w:t xml:space="preserve">ollege </w:t>
      </w:r>
      <w:r w:rsidR="0036117B">
        <w:rPr>
          <w:color w:val="000000"/>
        </w:rPr>
        <w:t>s</w:t>
      </w:r>
      <w:r w:rsidRPr="00257F7A">
        <w:rPr>
          <w:color w:val="000000"/>
        </w:rPr>
        <w:t xml:space="preserve">tudents </w:t>
      </w:r>
      <w:r w:rsidR="00D5748B" w:rsidRPr="00257F7A">
        <w:rPr>
          <w:color w:val="000000"/>
        </w:rPr>
        <w:t>w</w:t>
      </w:r>
      <w:r w:rsidRPr="00257F7A">
        <w:rPr>
          <w:color w:val="000000"/>
        </w:rPr>
        <w:t xml:space="preserve">ith </w:t>
      </w:r>
      <w:r w:rsidR="0036117B">
        <w:rPr>
          <w:color w:val="000000"/>
        </w:rPr>
        <w:t>p</w:t>
      </w:r>
      <w:r w:rsidRPr="00257F7A">
        <w:rPr>
          <w:color w:val="000000"/>
        </w:rPr>
        <w:t xml:space="preserve">sychological </w:t>
      </w:r>
      <w:r w:rsidR="0036117B">
        <w:rPr>
          <w:color w:val="000000"/>
        </w:rPr>
        <w:t>p</w:t>
      </w:r>
      <w:r w:rsidRPr="00257F7A">
        <w:rPr>
          <w:color w:val="000000"/>
        </w:rPr>
        <w:t xml:space="preserve">roblems. </w:t>
      </w:r>
      <w:r w:rsidRPr="00257F7A">
        <w:rPr>
          <w:i/>
          <w:iCs/>
          <w:color w:val="000000"/>
        </w:rPr>
        <w:t>Journal of College Counseling</w:t>
      </w:r>
      <w:r w:rsidRPr="00257F7A">
        <w:rPr>
          <w:color w:val="000000"/>
        </w:rPr>
        <w:t xml:space="preserve">, </w:t>
      </w:r>
      <w:r w:rsidRPr="00257F7A">
        <w:rPr>
          <w:i/>
          <w:iCs/>
          <w:color w:val="000000"/>
        </w:rPr>
        <w:t>15</w:t>
      </w:r>
      <w:r w:rsidRPr="00257F7A">
        <w:rPr>
          <w:color w:val="000000"/>
        </w:rPr>
        <w:t xml:space="preserve">(1), 37–51. </w:t>
      </w:r>
      <w:hyperlink r:id="rId40" w:history="1">
        <w:r w:rsidR="00D42FC0" w:rsidRPr="00D42FC0">
          <w:rPr>
            <w:rStyle w:val="Hyperlink"/>
          </w:rPr>
          <w:t>https://doi.org/10.1002/j.2161-1882.2012.00004</w:t>
        </w:r>
        <w:r w:rsidR="00D42FC0" w:rsidRPr="00126DCE">
          <w:rPr>
            <w:rStyle w:val="Hyperlink"/>
          </w:rPr>
          <w:t>.x</w:t>
        </w:r>
      </w:hyperlink>
    </w:p>
    <w:p w14:paraId="2E9A9849" w14:textId="77777777" w:rsidR="00D42FC0" w:rsidRPr="00257F7A" w:rsidRDefault="00D42FC0" w:rsidP="006D50C3">
      <w:pPr>
        <w:pStyle w:val="NormalWeb"/>
        <w:tabs>
          <w:tab w:val="left" w:pos="360"/>
        </w:tabs>
        <w:spacing w:before="0" w:beforeAutospacing="0" w:after="0" w:afterAutospacing="0"/>
        <w:ind w:left="360" w:hanging="360"/>
      </w:pPr>
    </w:p>
    <w:p w14:paraId="6477C0D5" w14:textId="0EF01EBC" w:rsidR="006E6F08" w:rsidRDefault="006E6F08" w:rsidP="006D50C3">
      <w:pPr>
        <w:pStyle w:val="NormalWeb"/>
        <w:tabs>
          <w:tab w:val="left" w:pos="360"/>
        </w:tabs>
        <w:spacing w:before="0" w:beforeAutospacing="0" w:after="0" w:afterAutospacing="0"/>
        <w:ind w:left="360" w:hanging="360"/>
      </w:pPr>
      <w:proofErr w:type="spellStart"/>
      <w:r w:rsidRPr="00257F7A">
        <w:rPr>
          <w:color w:val="000000"/>
        </w:rPr>
        <w:t>Hartson</w:t>
      </w:r>
      <w:proofErr w:type="spellEnd"/>
      <w:r w:rsidRPr="00257F7A">
        <w:rPr>
          <w:color w:val="000000"/>
        </w:rPr>
        <w:t xml:space="preserve">, K. R., Hall, L. A., &amp; Choate, S. A. (2021). Stressors and resilience are associated with well-being in young adult college students. </w:t>
      </w:r>
      <w:r w:rsidRPr="00257F7A">
        <w:rPr>
          <w:i/>
          <w:iCs/>
          <w:color w:val="000000"/>
        </w:rPr>
        <w:t>Journal of American College Health</w:t>
      </w:r>
      <w:r w:rsidRPr="00257F7A">
        <w:rPr>
          <w:color w:val="000000"/>
        </w:rPr>
        <w:t xml:space="preserve">, 1–9. </w:t>
      </w:r>
      <w:hyperlink r:id="rId41" w:history="1">
        <w:r w:rsidR="00D42FC0" w:rsidRPr="00126DCE">
          <w:rPr>
            <w:rStyle w:val="Hyperlink"/>
          </w:rPr>
          <w:t>https://doi.org/10.1080/07448481.2021.1908309</w:t>
        </w:r>
      </w:hyperlink>
    </w:p>
    <w:p w14:paraId="6A533CFC" w14:textId="77777777" w:rsidR="00D42FC0" w:rsidRPr="00257F7A" w:rsidRDefault="00D42FC0" w:rsidP="006D50C3">
      <w:pPr>
        <w:pStyle w:val="NormalWeb"/>
        <w:tabs>
          <w:tab w:val="left" w:pos="360"/>
        </w:tabs>
        <w:spacing w:before="0" w:beforeAutospacing="0" w:after="0" w:afterAutospacing="0"/>
        <w:ind w:left="360" w:hanging="360"/>
        <w:rPr>
          <w:color w:val="000000"/>
        </w:rPr>
      </w:pPr>
    </w:p>
    <w:p w14:paraId="794479CD" w14:textId="4A8BA494" w:rsidR="00CA5FFE" w:rsidRDefault="00CA5FFE" w:rsidP="006D50C3">
      <w:pPr>
        <w:pStyle w:val="Bibliography"/>
        <w:tabs>
          <w:tab w:val="left" w:pos="360"/>
        </w:tabs>
        <w:ind w:left="360" w:hanging="360"/>
      </w:pPr>
      <w:proofErr w:type="spellStart"/>
      <w:r w:rsidRPr="00257F7A">
        <w:t>Helling</w:t>
      </w:r>
      <w:proofErr w:type="spellEnd"/>
      <w:r w:rsidRPr="00257F7A">
        <w:t xml:space="preserve">, J., &amp; Chandler, G. E. (2021). Meeting the </w:t>
      </w:r>
      <w:r w:rsidR="0036117B">
        <w:t>p</w:t>
      </w:r>
      <w:r w:rsidRPr="00257F7A">
        <w:t xml:space="preserve">sychological </w:t>
      </w:r>
      <w:r w:rsidR="0036117B">
        <w:t>h</w:t>
      </w:r>
      <w:r w:rsidRPr="00257F7A">
        <w:t xml:space="preserve">ealth &amp; </w:t>
      </w:r>
      <w:r w:rsidR="0036117B">
        <w:t>g</w:t>
      </w:r>
      <w:r w:rsidRPr="00257F7A">
        <w:t xml:space="preserve">rowth </w:t>
      </w:r>
      <w:r w:rsidR="0036117B">
        <w:t>n</w:t>
      </w:r>
      <w:r w:rsidRPr="00257F7A">
        <w:t xml:space="preserve">eeds of </w:t>
      </w:r>
      <w:r w:rsidR="0036117B">
        <w:t>b</w:t>
      </w:r>
      <w:r w:rsidRPr="00257F7A">
        <w:t xml:space="preserve">lack </w:t>
      </w:r>
      <w:r w:rsidR="0036117B">
        <w:t>c</w:t>
      </w:r>
      <w:r w:rsidRPr="00257F7A">
        <w:t xml:space="preserve">ollege </w:t>
      </w:r>
      <w:r w:rsidR="0036117B">
        <w:t>s</w:t>
      </w:r>
      <w:r w:rsidRPr="00257F7A">
        <w:t xml:space="preserve">tudents: Culture, </w:t>
      </w:r>
      <w:proofErr w:type="gramStart"/>
      <w:r w:rsidR="0036117B">
        <w:t>r</w:t>
      </w:r>
      <w:r w:rsidRPr="00257F7A">
        <w:t>esonance</w:t>
      </w:r>
      <w:proofErr w:type="gramEnd"/>
      <w:r w:rsidRPr="00257F7A">
        <w:t xml:space="preserve"> and </w:t>
      </w:r>
      <w:r w:rsidR="0036117B">
        <w:t>r</w:t>
      </w:r>
      <w:r w:rsidRPr="00257F7A">
        <w:t xml:space="preserve">esilience. </w:t>
      </w:r>
      <w:r w:rsidRPr="00257F7A">
        <w:rPr>
          <w:i/>
          <w:iCs/>
        </w:rPr>
        <w:t>Journal of College Student</w:t>
      </w:r>
      <w:r w:rsidR="0063659E">
        <w:rPr>
          <w:i/>
          <w:iCs/>
        </w:rPr>
        <w:t xml:space="preserve"> </w:t>
      </w:r>
      <w:r w:rsidRPr="00257F7A">
        <w:rPr>
          <w:i/>
          <w:iCs/>
        </w:rPr>
        <w:t>Psychotherapy</w:t>
      </w:r>
      <w:r w:rsidRPr="00257F7A">
        <w:t xml:space="preserve">, </w:t>
      </w:r>
      <w:r w:rsidRPr="00257F7A">
        <w:rPr>
          <w:i/>
          <w:iCs/>
        </w:rPr>
        <w:t>35</w:t>
      </w:r>
      <w:r w:rsidRPr="00257F7A">
        <w:t xml:space="preserve">(2), 152–180. </w:t>
      </w:r>
      <w:hyperlink r:id="rId42" w:history="1">
        <w:r w:rsidR="006D50C3" w:rsidRPr="00BF01B9">
          <w:rPr>
            <w:rStyle w:val="Hyperlink"/>
          </w:rPr>
          <w:t>https://doi.org/10.1080/87568225.2019.1660291</w:t>
        </w:r>
      </w:hyperlink>
    </w:p>
    <w:p w14:paraId="5C5B5F18" w14:textId="77777777" w:rsidR="006D50C3" w:rsidRPr="006D50C3" w:rsidRDefault="006D50C3" w:rsidP="006D50C3">
      <w:pPr>
        <w:tabs>
          <w:tab w:val="left" w:pos="360"/>
        </w:tabs>
        <w:ind w:left="360" w:hanging="360"/>
      </w:pPr>
    </w:p>
    <w:p w14:paraId="612DA416" w14:textId="6686D294"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House, L. A., Neal, C., &amp; Kolb, J. (2020). Supporting the </w:t>
      </w:r>
      <w:r w:rsidR="0036117B">
        <w:rPr>
          <w:color w:val="000000"/>
        </w:rPr>
        <w:t>m</w:t>
      </w:r>
      <w:r w:rsidRPr="00257F7A">
        <w:rPr>
          <w:color w:val="000000"/>
        </w:rPr>
        <w:t xml:space="preserve">ental </w:t>
      </w:r>
      <w:r w:rsidR="0036117B">
        <w:rPr>
          <w:color w:val="000000"/>
        </w:rPr>
        <w:t>h</w:t>
      </w:r>
      <w:r w:rsidRPr="00257F7A">
        <w:rPr>
          <w:color w:val="000000"/>
        </w:rPr>
        <w:t xml:space="preserve">ealth </w:t>
      </w:r>
      <w:r w:rsidR="0036117B">
        <w:rPr>
          <w:color w:val="000000"/>
        </w:rPr>
        <w:t>n</w:t>
      </w:r>
      <w:r w:rsidRPr="00257F7A">
        <w:rPr>
          <w:color w:val="000000"/>
        </w:rPr>
        <w:t xml:space="preserve">eeds of </w:t>
      </w:r>
      <w:r w:rsidR="0036117B">
        <w:rPr>
          <w:color w:val="000000"/>
        </w:rPr>
        <w:t>f</w:t>
      </w:r>
      <w:r w:rsidRPr="00257F7A">
        <w:rPr>
          <w:color w:val="000000"/>
        </w:rPr>
        <w:t>irst</w:t>
      </w:r>
      <w:r w:rsidR="00064B3D">
        <w:rPr>
          <w:color w:val="000000"/>
        </w:rPr>
        <w:t>-</w:t>
      </w:r>
      <w:r w:rsidR="0036117B">
        <w:rPr>
          <w:color w:val="000000"/>
        </w:rPr>
        <w:t>g</w:t>
      </w:r>
      <w:r w:rsidRPr="00257F7A">
        <w:rPr>
          <w:color w:val="000000"/>
        </w:rPr>
        <w:t xml:space="preserve">eneration </w:t>
      </w:r>
      <w:r w:rsidR="0036117B">
        <w:rPr>
          <w:color w:val="000000"/>
        </w:rPr>
        <w:t>c</w:t>
      </w:r>
      <w:r w:rsidRPr="00257F7A">
        <w:rPr>
          <w:color w:val="000000"/>
        </w:rPr>
        <w:t xml:space="preserve">ollege </w:t>
      </w:r>
      <w:r w:rsidR="0036117B">
        <w:rPr>
          <w:color w:val="000000"/>
        </w:rPr>
        <w:t>s</w:t>
      </w:r>
      <w:r w:rsidRPr="00257F7A">
        <w:rPr>
          <w:color w:val="000000"/>
        </w:rPr>
        <w:t xml:space="preserve">tudents. </w:t>
      </w:r>
      <w:r w:rsidRPr="00257F7A">
        <w:rPr>
          <w:i/>
          <w:iCs/>
          <w:color w:val="000000"/>
        </w:rPr>
        <w:t>Journal of College Student Psychotherapy</w:t>
      </w:r>
      <w:r w:rsidRPr="00257F7A">
        <w:rPr>
          <w:color w:val="000000"/>
        </w:rPr>
        <w:t xml:space="preserve">, </w:t>
      </w:r>
      <w:r w:rsidRPr="00257F7A">
        <w:rPr>
          <w:i/>
          <w:iCs/>
          <w:color w:val="000000"/>
        </w:rPr>
        <w:t>34</w:t>
      </w:r>
      <w:r w:rsidRPr="00257F7A">
        <w:rPr>
          <w:color w:val="000000"/>
        </w:rPr>
        <w:t>(2), 157–167.</w:t>
      </w:r>
      <w:r w:rsidR="0063659E">
        <w:rPr>
          <w:color w:val="000000"/>
        </w:rPr>
        <w:t xml:space="preserve"> </w:t>
      </w:r>
      <w:hyperlink r:id="rId43" w:history="1">
        <w:r w:rsidR="0063659E" w:rsidRPr="00BF01B9">
          <w:rPr>
            <w:rStyle w:val="Hyperlink"/>
          </w:rPr>
          <w:t>https://doi.org/10.1080/87568225.2019.1578940</w:t>
        </w:r>
      </w:hyperlink>
    </w:p>
    <w:p w14:paraId="022A2410" w14:textId="77777777" w:rsidR="00D42FC0" w:rsidRPr="00257F7A" w:rsidRDefault="00D42FC0" w:rsidP="006D50C3">
      <w:pPr>
        <w:pStyle w:val="NormalWeb"/>
        <w:tabs>
          <w:tab w:val="left" w:pos="360"/>
        </w:tabs>
        <w:spacing w:before="0" w:beforeAutospacing="0" w:after="0" w:afterAutospacing="0"/>
        <w:ind w:left="360" w:hanging="360"/>
      </w:pPr>
    </w:p>
    <w:p w14:paraId="2EFCD1BC" w14:textId="0F7C4796"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Houston, J. B., First, J., </w:t>
      </w:r>
      <w:proofErr w:type="spellStart"/>
      <w:r w:rsidRPr="00257F7A">
        <w:rPr>
          <w:color w:val="000000"/>
        </w:rPr>
        <w:t>Spialek</w:t>
      </w:r>
      <w:proofErr w:type="spellEnd"/>
      <w:r w:rsidRPr="00257F7A">
        <w:rPr>
          <w:color w:val="000000"/>
        </w:rPr>
        <w:t xml:space="preserve">, M. L., Sorenson, M. E., Mills-Sandoval, T., Lockett, M., </w:t>
      </w:r>
      <w:r w:rsidR="00FD067A">
        <w:rPr>
          <w:color w:val="000000"/>
        </w:rPr>
        <w:t>…</w:t>
      </w:r>
      <w:r w:rsidRPr="00257F7A">
        <w:rPr>
          <w:color w:val="000000"/>
        </w:rPr>
        <w:t xml:space="preserve"> &amp; </w:t>
      </w:r>
      <w:proofErr w:type="spellStart"/>
      <w:r w:rsidRPr="00257F7A">
        <w:rPr>
          <w:color w:val="000000"/>
        </w:rPr>
        <w:t>Pfefferbaum</w:t>
      </w:r>
      <w:proofErr w:type="spellEnd"/>
      <w:r w:rsidRPr="00257F7A">
        <w:rPr>
          <w:color w:val="000000"/>
        </w:rPr>
        <w:t>, B. (2017). Randomized controlled trial of the Resilience and Coping</w:t>
      </w:r>
      <w:r w:rsidR="0063659E">
        <w:rPr>
          <w:color w:val="000000"/>
        </w:rPr>
        <w:t xml:space="preserve"> </w:t>
      </w:r>
      <w:r w:rsidRPr="00257F7A">
        <w:rPr>
          <w:color w:val="000000"/>
        </w:rPr>
        <w:t xml:space="preserve">Intervention (RCI) with undergraduate university students. </w:t>
      </w:r>
      <w:r w:rsidRPr="00257F7A">
        <w:rPr>
          <w:i/>
          <w:iCs/>
          <w:color w:val="000000"/>
        </w:rPr>
        <w:t>Journal of American College Health</w:t>
      </w:r>
      <w:r w:rsidRPr="00257F7A">
        <w:rPr>
          <w:color w:val="000000"/>
        </w:rPr>
        <w:t xml:space="preserve">, </w:t>
      </w:r>
      <w:r w:rsidRPr="00257F7A">
        <w:rPr>
          <w:i/>
          <w:iCs/>
          <w:color w:val="000000"/>
        </w:rPr>
        <w:t>65</w:t>
      </w:r>
      <w:r w:rsidRPr="00257F7A">
        <w:rPr>
          <w:color w:val="000000"/>
        </w:rPr>
        <w:t>(1), 1–9.</w:t>
      </w:r>
      <w:r w:rsidR="0063659E">
        <w:rPr>
          <w:color w:val="000000"/>
        </w:rPr>
        <w:t xml:space="preserve"> </w:t>
      </w:r>
      <w:hyperlink r:id="rId44" w:history="1">
        <w:r w:rsidR="0063659E" w:rsidRPr="00BF01B9">
          <w:rPr>
            <w:rStyle w:val="Hyperlink"/>
          </w:rPr>
          <w:t>https://doi.org/10.1080/07448481.2016.1227826</w:t>
        </w:r>
      </w:hyperlink>
    </w:p>
    <w:p w14:paraId="38BFE6F0" w14:textId="77777777" w:rsidR="00D42FC0" w:rsidRPr="00257F7A" w:rsidRDefault="00D42FC0" w:rsidP="006D50C3">
      <w:pPr>
        <w:pStyle w:val="NormalWeb"/>
        <w:tabs>
          <w:tab w:val="left" w:pos="360"/>
        </w:tabs>
        <w:spacing w:before="0" w:beforeAutospacing="0" w:after="0" w:afterAutospacing="0"/>
        <w:ind w:left="360" w:hanging="360"/>
      </w:pPr>
    </w:p>
    <w:p w14:paraId="72092E38" w14:textId="21C9B5A3" w:rsidR="00BB7410" w:rsidRDefault="00BB7410" w:rsidP="00BB7410">
      <w:pPr>
        <w:pStyle w:val="NormalWeb"/>
        <w:tabs>
          <w:tab w:val="left" w:pos="360"/>
        </w:tabs>
        <w:snapToGrid w:val="0"/>
        <w:spacing w:before="0" w:beforeAutospacing="0" w:after="0" w:afterAutospacing="0"/>
        <w:ind w:left="360" w:hanging="360"/>
        <w:rPr>
          <w:color w:val="000000"/>
        </w:rPr>
      </w:pPr>
      <w:proofErr w:type="spellStart"/>
      <w:r w:rsidRPr="00BB7410">
        <w:rPr>
          <w:color w:val="000000"/>
          <w:highlight w:val="yellow"/>
        </w:rPr>
        <w:lastRenderedPageBreak/>
        <w:t>Huebschmann</w:t>
      </w:r>
      <w:proofErr w:type="spellEnd"/>
      <w:r w:rsidRPr="0010553F">
        <w:rPr>
          <w:color w:val="000000"/>
          <w:highlight w:val="yellow"/>
        </w:rPr>
        <w:t>, N. A.,</w:t>
      </w:r>
      <w:r w:rsidRPr="00BB7410">
        <w:rPr>
          <w:color w:val="000000"/>
          <w:highlight w:val="yellow"/>
        </w:rPr>
        <w:t xml:space="preserve"> &amp; Sheets</w:t>
      </w:r>
      <w:r w:rsidRPr="0010553F">
        <w:rPr>
          <w:color w:val="000000"/>
          <w:highlight w:val="yellow"/>
        </w:rPr>
        <w:t>, E. S.</w:t>
      </w:r>
      <w:r w:rsidRPr="00BB7410">
        <w:rPr>
          <w:color w:val="000000"/>
          <w:highlight w:val="yellow"/>
        </w:rPr>
        <w:t xml:space="preserve"> (2020) The right mindset: </w:t>
      </w:r>
      <w:r w:rsidR="004C480D">
        <w:rPr>
          <w:color w:val="000000"/>
          <w:highlight w:val="yellow"/>
        </w:rPr>
        <w:t>S</w:t>
      </w:r>
      <w:r w:rsidRPr="00BB7410">
        <w:rPr>
          <w:color w:val="000000"/>
          <w:highlight w:val="yellow"/>
        </w:rPr>
        <w:t>tress</w:t>
      </w:r>
      <w:r w:rsidRPr="0010553F">
        <w:rPr>
          <w:color w:val="000000"/>
          <w:highlight w:val="yellow"/>
        </w:rPr>
        <w:t xml:space="preserve"> </w:t>
      </w:r>
      <w:r w:rsidRPr="00BB7410">
        <w:rPr>
          <w:color w:val="000000"/>
          <w:highlight w:val="yellow"/>
        </w:rPr>
        <w:t xml:space="preserve">mindset moderates the association between perceived stress and depressive symptoms, </w:t>
      </w:r>
      <w:r w:rsidRPr="00BB7410">
        <w:rPr>
          <w:i/>
          <w:iCs/>
          <w:color w:val="000000"/>
          <w:highlight w:val="yellow"/>
        </w:rPr>
        <w:t>Anxiety,</w:t>
      </w:r>
      <w:r w:rsidRPr="0010553F">
        <w:rPr>
          <w:i/>
          <w:iCs/>
          <w:color w:val="000000"/>
          <w:highlight w:val="yellow"/>
        </w:rPr>
        <w:t xml:space="preserve"> </w:t>
      </w:r>
      <w:r w:rsidRPr="00BB7410">
        <w:rPr>
          <w:i/>
          <w:iCs/>
          <w:color w:val="000000"/>
          <w:highlight w:val="yellow"/>
        </w:rPr>
        <w:t>Stress, &amp; Coping</w:t>
      </w:r>
      <w:r w:rsidRPr="00BB7410">
        <w:rPr>
          <w:color w:val="000000"/>
          <w:highlight w:val="yellow"/>
        </w:rPr>
        <w:t xml:space="preserve">, </w:t>
      </w:r>
      <w:r w:rsidRPr="00BB7410">
        <w:rPr>
          <w:i/>
          <w:iCs/>
          <w:color w:val="000000"/>
          <w:highlight w:val="yellow"/>
        </w:rPr>
        <w:t>33</w:t>
      </w:r>
      <w:r w:rsidRPr="0010553F">
        <w:rPr>
          <w:color w:val="000000"/>
          <w:highlight w:val="yellow"/>
        </w:rPr>
        <w:t>(</w:t>
      </w:r>
      <w:r w:rsidRPr="00BB7410">
        <w:rPr>
          <w:color w:val="000000"/>
          <w:highlight w:val="yellow"/>
        </w:rPr>
        <w:t>3</w:t>
      </w:r>
      <w:r w:rsidRPr="0010553F">
        <w:rPr>
          <w:color w:val="000000"/>
          <w:highlight w:val="yellow"/>
        </w:rPr>
        <w:t>)</w:t>
      </w:r>
      <w:r w:rsidRPr="00BB7410">
        <w:rPr>
          <w:color w:val="000000"/>
          <w:highlight w:val="yellow"/>
        </w:rPr>
        <w:t>, 248-255</w:t>
      </w:r>
      <w:r w:rsidRPr="0010553F">
        <w:rPr>
          <w:color w:val="000000"/>
          <w:highlight w:val="yellow"/>
        </w:rPr>
        <w:t xml:space="preserve">. </w:t>
      </w:r>
      <w:hyperlink r:id="rId45" w:history="1">
        <w:r w:rsidRPr="0010553F">
          <w:rPr>
            <w:rStyle w:val="Hyperlink"/>
            <w:highlight w:val="yellow"/>
          </w:rPr>
          <w:t>https://doi.org/10.1080/10615806.2020.1736900</w:t>
        </w:r>
      </w:hyperlink>
    </w:p>
    <w:p w14:paraId="1DDFACEF" w14:textId="77777777" w:rsidR="00BB7410" w:rsidRDefault="00BB7410" w:rsidP="00BB7410">
      <w:pPr>
        <w:pStyle w:val="NormalWeb"/>
        <w:tabs>
          <w:tab w:val="left" w:pos="360"/>
        </w:tabs>
        <w:spacing w:before="0" w:beforeAutospacing="0" w:after="0" w:afterAutospacing="0"/>
        <w:ind w:left="360" w:hanging="360"/>
        <w:rPr>
          <w:color w:val="000000"/>
        </w:rPr>
      </w:pPr>
    </w:p>
    <w:p w14:paraId="4D11B500" w14:textId="77777777" w:rsidR="00192223" w:rsidRDefault="006E6F08" w:rsidP="00192223">
      <w:pPr>
        <w:pStyle w:val="NormalWeb"/>
        <w:tabs>
          <w:tab w:val="left" w:pos="360"/>
        </w:tabs>
        <w:spacing w:before="0" w:beforeAutospacing="0" w:after="0" w:afterAutospacing="0"/>
        <w:ind w:left="360" w:hanging="360"/>
        <w:rPr>
          <w:color w:val="000000"/>
        </w:rPr>
      </w:pPr>
      <w:r w:rsidRPr="00257F7A">
        <w:rPr>
          <w:color w:val="000000"/>
        </w:rPr>
        <w:t xml:space="preserve">Hurd, N. M., Albright, J., </w:t>
      </w:r>
      <w:proofErr w:type="spellStart"/>
      <w:r w:rsidRPr="00257F7A">
        <w:rPr>
          <w:color w:val="000000"/>
        </w:rPr>
        <w:t>Wittrup</w:t>
      </w:r>
      <w:proofErr w:type="spellEnd"/>
      <w:r w:rsidRPr="00257F7A">
        <w:rPr>
          <w:color w:val="000000"/>
        </w:rPr>
        <w:t xml:space="preserve">, A., Negrete, A., &amp; Billingsley, J. (2018). Appraisal </w:t>
      </w:r>
      <w:r w:rsidR="00FD067A">
        <w:rPr>
          <w:color w:val="000000"/>
        </w:rPr>
        <w:t>s</w:t>
      </w:r>
      <w:r w:rsidRPr="00257F7A">
        <w:rPr>
          <w:color w:val="000000"/>
        </w:rPr>
        <w:t xml:space="preserve">upport from </w:t>
      </w:r>
      <w:r w:rsidR="00FD067A">
        <w:rPr>
          <w:color w:val="000000"/>
        </w:rPr>
        <w:t>n</w:t>
      </w:r>
      <w:r w:rsidRPr="00257F7A">
        <w:rPr>
          <w:color w:val="000000"/>
        </w:rPr>
        <w:t xml:space="preserve">atural </w:t>
      </w:r>
      <w:r w:rsidR="00FD067A">
        <w:rPr>
          <w:color w:val="000000"/>
        </w:rPr>
        <w:t>m</w:t>
      </w:r>
      <w:r w:rsidRPr="00257F7A">
        <w:rPr>
          <w:color w:val="000000"/>
        </w:rPr>
        <w:t xml:space="preserve">entors, </w:t>
      </w:r>
      <w:r w:rsidR="00FD067A">
        <w:rPr>
          <w:color w:val="000000"/>
        </w:rPr>
        <w:t>s</w:t>
      </w:r>
      <w:r w:rsidRPr="00257F7A">
        <w:rPr>
          <w:color w:val="000000"/>
        </w:rPr>
        <w:t xml:space="preserve">elf-worth, and </w:t>
      </w:r>
      <w:r w:rsidR="00FD067A">
        <w:rPr>
          <w:color w:val="000000"/>
        </w:rPr>
        <w:t>p</w:t>
      </w:r>
      <w:r w:rsidRPr="00257F7A">
        <w:rPr>
          <w:color w:val="000000"/>
        </w:rPr>
        <w:t xml:space="preserve">sychological </w:t>
      </w:r>
      <w:r w:rsidR="00FD067A">
        <w:rPr>
          <w:color w:val="000000"/>
        </w:rPr>
        <w:t>d</w:t>
      </w:r>
      <w:r w:rsidRPr="00257F7A">
        <w:rPr>
          <w:color w:val="000000"/>
        </w:rPr>
        <w:t>istress: Examining the</w:t>
      </w:r>
      <w:r w:rsidR="0063659E">
        <w:rPr>
          <w:color w:val="000000"/>
        </w:rPr>
        <w:t xml:space="preserve"> </w:t>
      </w:r>
      <w:r w:rsidR="00FD067A">
        <w:rPr>
          <w:color w:val="000000"/>
        </w:rPr>
        <w:t>e</w:t>
      </w:r>
      <w:r w:rsidRPr="00257F7A">
        <w:rPr>
          <w:color w:val="000000"/>
        </w:rPr>
        <w:t xml:space="preserve">xperiences of </w:t>
      </w:r>
      <w:r w:rsidR="00FD067A">
        <w:rPr>
          <w:color w:val="000000"/>
        </w:rPr>
        <w:t>u</w:t>
      </w:r>
      <w:r w:rsidRPr="00257F7A">
        <w:rPr>
          <w:color w:val="000000"/>
        </w:rPr>
        <w:t xml:space="preserve">nderrepresented </w:t>
      </w:r>
      <w:r w:rsidR="00FD067A">
        <w:rPr>
          <w:color w:val="000000"/>
        </w:rPr>
        <w:t>s</w:t>
      </w:r>
      <w:r w:rsidRPr="00257F7A">
        <w:rPr>
          <w:color w:val="000000"/>
        </w:rPr>
        <w:t xml:space="preserve">tudents </w:t>
      </w:r>
      <w:r w:rsidR="00FD067A">
        <w:rPr>
          <w:color w:val="000000"/>
        </w:rPr>
        <w:t>t</w:t>
      </w:r>
      <w:r w:rsidRPr="00257F7A">
        <w:rPr>
          <w:color w:val="000000"/>
        </w:rPr>
        <w:t xml:space="preserve">ransitioning </w:t>
      </w:r>
      <w:r w:rsidR="00FD067A">
        <w:rPr>
          <w:color w:val="000000"/>
        </w:rPr>
        <w:t>t</w:t>
      </w:r>
      <w:r w:rsidRPr="00257F7A">
        <w:rPr>
          <w:color w:val="000000"/>
        </w:rPr>
        <w:t xml:space="preserve">hrough </w:t>
      </w:r>
      <w:r w:rsidR="00FD067A">
        <w:rPr>
          <w:color w:val="000000"/>
        </w:rPr>
        <w:t>c</w:t>
      </w:r>
      <w:r w:rsidRPr="00257F7A">
        <w:rPr>
          <w:color w:val="000000"/>
        </w:rPr>
        <w:t xml:space="preserve">ollege. </w:t>
      </w:r>
      <w:r w:rsidRPr="00257F7A">
        <w:rPr>
          <w:i/>
          <w:iCs/>
          <w:color w:val="000000"/>
        </w:rPr>
        <w:t>Journal of</w:t>
      </w:r>
      <w:r w:rsidR="0063659E">
        <w:rPr>
          <w:i/>
          <w:iCs/>
          <w:color w:val="000000"/>
        </w:rPr>
        <w:t xml:space="preserve"> </w:t>
      </w:r>
      <w:r w:rsidRPr="00257F7A">
        <w:rPr>
          <w:i/>
          <w:iCs/>
          <w:color w:val="000000"/>
        </w:rPr>
        <w:t>Youth and Adolescence</w:t>
      </w:r>
      <w:r w:rsidRPr="00257F7A">
        <w:rPr>
          <w:color w:val="000000"/>
        </w:rPr>
        <w:t xml:space="preserve">, </w:t>
      </w:r>
      <w:r w:rsidRPr="00257F7A">
        <w:rPr>
          <w:i/>
          <w:iCs/>
          <w:color w:val="000000"/>
        </w:rPr>
        <w:t>47</w:t>
      </w:r>
      <w:r w:rsidRPr="00257F7A">
        <w:rPr>
          <w:color w:val="000000"/>
        </w:rPr>
        <w:t xml:space="preserve">(5), 1100–1112. </w:t>
      </w:r>
      <w:hyperlink r:id="rId46" w:history="1">
        <w:r w:rsidR="00D42FC0" w:rsidRPr="00D42FC0">
          <w:rPr>
            <w:rStyle w:val="Hyperlink"/>
          </w:rPr>
          <w:t>https://doi.org/10.1007/s10964-017-0798-</w:t>
        </w:r>
        <w:r w:rsidR="00D42FC0" w:rsidRPr="00126DCE">
          <w:rPr>
            <w:rStyle w:val="Hyperlink"/>
          </w:rPr>
          <w:t>x</w:t>
        </w:r>
      </w:hyperlink>
    </w:p>
    <w:p w14:paraId="76318BD0" w14:textId="77777777" w:rsidR="00192223" w:rsidRDefault="00192223" w:rsidP="00192223">
      <w:pPr>
        <w:pStyle w:val="NormalWeb"/>
        <w:tabs>
          <w:tab w:val="left" w:pos="360"/>
        </w:tabs>
        <w:spacing w:before="0" w:beforeAutospacing="0" w:after="0" w:afterAutospacing="0"/>
        <w:ind w:left="360" w:hanging="360"/>
        <w:rPr>
          <w:color w:val="000000"/>
        </w:rPr>
      </w:pPr>
    </w:p>
    <w:p w14:paraId="74F23571" w14:textId="3B59918C" w:rsidR="006E6F08" w:rsidRDefault="006E6F08" w:rsidP="00192223">
      <w:pPr>
        <w:pStyle w:val="NormalWeb"/>
        <w:tabs>
          <w:tab w:val="left" w:pos="360"/>
        </w:tabs>
        <w:spacing w:before="0" w:beforeAutospacing="0" w:after="0" w:afterAutospacing="0"/>
        <w:ind w:left="360" w:hanging="360"/>
        <w:rPr>
          <w:color w:val="000000"/>
        </w:rPr>
      </w:pPr>
      <w:r w:rsidRPr="00257F7A">
        <w:rPr>
          <w:color w:val="000000"/>
        </w:rPr>
        <w:t xml:space="preserve">Johnson, M. L., </w:t>
      </w:r>
      <w:proofErr w:type="spellStart"/>
      <w:r w:rsidRPr="00257F7A">
        <w:rPr>
          <w:color w:val="000000"/>
        </w:rPr>
        <w:t>Taasoobshirazi</w:t>
      </w:r>
      <w:proofErr w:type="spellEnd"/>
      <w:r w:rsidRPr="00257F7A">
        <w:rPr>
          <w:color w:val="000000"/>
        </w:rPr>
        <w:t xml:space="preserve">, G., </w:t>
      </w:r>
      <w:proofErr w:type="spellStart"/>
      <w:r w:rsidRPr="00257F7A">
        <w:rPr>
          <w:color w:val="000000"/>
        </w:rPr>
        <w:t>Kestler</w:t>
      </w:r>
      <w:proofErr w:type="spellEnd"/>
      <w:r w:rsidRPr="00257F7A">
        <w:rPr>
          <w:color w:val="000000"/>
        </w:rPr>
        <w:t>, J. L., &amp; Cordova, J. R. (2015). Models and</w:t>
      </w:r>
      <w:r w:rsidR="0063659E">
        <w:rPr>
          <w:color w:val="000000"/>
        </w:rPr>
        <w:t xml:space="preserve"> </w:t>
      </w:r>
      <w:r w:rsidRPr="00257F7A">
        <w:rPr>
          <w:color w:val="000000"/>
        </w:rPr>
        <w:t xml:space="preserve">messengers of resilience: A theoretical model of college students’ resilience, regulatory strategy use, and academic achievement. </w:t>
      </w:r>
      <w:r w:rsidRPr="00257F7A">
        <w:rPr>
          <w:i/>
          <w:iCs/>
          <w:color w:val="000000"/>
        </w:rPr>
        <w:t>Educational Psychology</w:t>
      </w:r>
      <w:r w:rsidRPr="00257F7A">
        <w:rPr>
          <w:color w:val="000000"/>
        </w:rPr>
        <w:t xml:space="preserve">, </w:t>
      </w:r>
      <w:r w:rsidRPr="00257F7A">
        <w:rPr>
          <w:i/>
          <w:iCs/>
          <w:color w:val="000000"/>
        </w:rPr>
        <w:t>35</w:t>
      </w:r>
      <w:r w:rsidRPr="00257F7A">
        <w:rPr>
          <w:color w:val="000000"/>
        </w:rPr>
        <w:t>(7), 869–885.</w:t>
      </w:r>
      <w:r w:rsidR="0063659E">
        <w:rPr>
          <w:color w:val="000000"/>
        </w:rPr>
        <w:t xml:space="preserve"> </w:t>
      </w:r>
      <w:hyperlink r:id="rId47" w:history="1">
        <w:r w:rsidR="0063659E" w:rsidRPr="00BF01B9">
          <w:rPr>
            <w:rStyle w:val="Hyperlink"/>
          </w:rPr>
          <w:t>https://doi.org/10.1080/01443410.2014.893560</w:t>
        </w:r>
      </w:hyperlink>
    </w:p>
    <w:p w14:paraId="4E5CD9C7" w14:textId="77777777" w:rsidR="00D42FC0" w:rsidRPr="00257F7A" w:rsidRDefault="00D42FC0" w:rsidP="006D50C3">
      <w:pPr>
        <w:pStyle w:val="NormalWeb"/>
        <w:tabs>
          <w:tab w:val="left" w:pos="360"/>
        </w:tabs>
        <w:spacing w:before="0" w:beforeAutospacing="0" w:after="0" w:afterAutospacing="0"/>
        <w:ind w:left="360" w:hanging="360"/>
      </w:pPr>
    </w:p>
    <w:p w14:paraId="636DB132" w14:textId="28210E0D" w:rsidR="00FC4A87" w:rsidRPr="00FC4A87" w:rsidRDefault="00FC4A87" w:rsidP="006D50C3">
      <w:pPr>
        <w:pStyle w:val="NormalWeb"/>
        <w:tabs>
          <w:tab w:val="left" w:pos="360"/>
        </w:tabs>
        <w:spacing w:before="0" w:beforeAutospacing="0" w:after="0" w:afterAutospacing="0"/>
        <w:ind w:left="360" w:hanging="360"/>
        <w:rPr>
          <w:color w:val="222222"/>
          <w:shd w:val="clear" w:color="auto" w:fill="FFFFFF"/>
        </w:rPr>
      </w:pPr>
      <w:r w:rsidRPr="00FC4A87">
        <w:rPr>
          <w:color w:val="222222"/>
          <w:highlight w:val="yellow"/>
          <w:shd w:val="clear" w:color="auto" w:fill="FFFFFF"/>
        </w:rPr>
        <w:t xml:space="preserve">Julian, M., Cheadle, A. C., Knudsen, K. S., </w:t>
      </w:r>
      <w:proofErr w:type="spellStart"/>
      <w:r w:rsidRPr="00FC4A87">
        <w:rPr>
          <w:color w:val="222222"/>
          <w:highlight w:val="yellow"/>
          <w:shd w:val="clear" w:color="auto" w:fill="FFFFFF"/>
        </w:rPr>
        <w:t>Bilder</w:t>
      </w:r>
      <w:proofErr w:type="spellEnd"/>
      <w:r w:rsidRPr="00FC4A87">
        <w:rPr>
          <w:color w:val="222222"/>
          <w:highlight w:val="yellow"/>
          <w:shd w:val="clear" w:color="auto" w:fill="FFFFFF"/>
        </w:rPr>
        <w:t xml:space="preserve">, R. M., &amp; Dunkel </w:t>
      </w:r>
      <w:proofErr w:type="spellStart"/>
      <w:r w:rsidRPr="00FC4A87">
        <w:rPr>
          <w:color w:val="222222"/>
          <w:highlight w:val="yellow"/>
          <w:shd w:val="clear" w:color="auto" w:fill="FFFFFF"/>
        </w:rPr>
        <w:t>Schetter</w:t>
      </w:r>
      <w:proofErr w:type="spellEnd"/>
      <w:r w:rsidRPr="00FC4A87">
        <w:rPr>
          <w:color w:val="222222"/>
          <w:highlight w:val="yellow"/>
          <w:shd w:val="clear" w:color="auto" w:fill="FFFFFF"/>
        </w:rPr>
        <w:t>, C. (2022). Resilience Resources Scale: A brief resilience measure validated with undergraduate students. </w:t>
      </w:r>
      <w:r w:rsidRPr="00FC4A87">
        <w:rPr>
          <w:i/>
          <w:iCs/>
          <w:color w:val="222222"/>
          <w:highlight w:val="yellow"/>
          <w:shd w:val="clear" w:color="auto" w:fill="FFFFFF"/>
        </w:rPr>
        <w:t>Journal of American College Health</w:t>
      </w:r>
      <w:r w:rsidRPr="00FC4A87">
        <w:rPr>
          <w:color w:val="222222"/>
          <w:highlight w:val="yellow"/>
          <w:shd w:val="clear" w:color="auto" w:fill="FFFFFF"/>
        </w:rPr>
        <w:t>, </w:t>
      </w:r>
      <w:r w:rsidRPr="00FC4A87">
        <w:rPr>
          <w:i/>
          <w:iCs/>
          <w:color w:val="222222"/>
          <w:highlight w:val="yellow"/>
          <w:shd w:val="clear" w:color="auto" w:fill="FFFFFF"/>
        </w:rPr>
        <w:t>70</w:t>
      </w:r>
      <w:r w:rsidRPr="00FC4A87">
        <w:rPr>
          <w:color w:val="222222"/>
          <w:highlight w:val="yellow"/>
          <w:shd w:val="clear" w:color="auto" w:fill="FFFFFF"/>
        </w:rPr>
        <w:t xml:space="preserve">(5), 1434-1443. </w:t>
      </w:r>
      <w:hyperlink r:id="rId48" w:history="1">
        <w:r w:rsidRPr="00FC4A87">
          <w:rPr>
            <w:rStyle w:val="Hyperlink"/>
            <w:highlight w:val="yellow"/>
          </w:rPr>
          <w:t>https://doi.org/10.1080/07448481.2020.1802283</w:t>
        </w:r>
      </w:hyperlink>
      <w:r>
        <w:t xml:space="preserve"> </w:t>
      </w:r>
    </w:p>
    <w:p w14:paraId="15954346" w14:textId="77777777" w:rsidR="00FC4A87" w:rsidRDefault="00FC4A87" w:rsidP="006D50C3">
      <w:pPr>
        <w:pStyle w:val="NormalWeb"/>
        <w:tabs>
          <w:tab w:val="left" w:pos="360"/>
        </w:tabs>
        <w:spacing w:before="0" w:beforeAutospacing="0" w:after="0" w:afterAutospacing="0"/>
        <w:ind w:left="360" w:hanging="360"/>
        <w:rPr>
          <w:rFonts w:ascii="Arial" w:hAnsi="Arial" w:cs="Arial"/>
          <w:color w:val="222222"/>
          <w:sz w:val="20"/>
          <w:szCs w:val="20"/>
          <w:shd w:val="clear" w:color="auto" w:fill="FFFFFF"/>
        </w:rPr>
      </w:pPr>
    </w:p>
    <w:p w14:paraId="440E1CCB" w14:textId="0233BAE3" w:rsidR="00D914B1" w:rsidRDefault="006E6F08" w:rsidP="006D50C3">
      <w:pPr>
        <w:pStyle w:val="NormalWeb"/>
        <w:tabs>
          <w:tab w:val="left" w:pos="360"/>
        </w:tabs>
        <w:spacing w:before="0" w:beforeAutospacing="0" w:after="0" w:afterAutospacing="0"/>
        <w:ind w:left="360" w:hanging="360"/>
        <w:rPr>
          <w:color w:val="000000"/>
        </w:rPr>
      </w:pPr>
      <w:proofErr w:type="spellStart"/>
      <w:r w:rsidRPr="00257F7A">
        <w:rPr>
          <w:color w:val="000000"/>
        </w:rPr>
        <w:t>Kadison</w:t>
      </w:r>
      <w:proofErr w:type="spellEnd"/>
      <w:r w:rsidRPr="00257F7A">
        <w:rPr>
          <w:color w:val="000000"/>
        </w:rPr>
        <w:t xml:space="preserve">, R., &amp; </w:t>
      </w:r>
      <w:proofErr w:type="spellStart"/>
      <w:r w:rsidRPr="00257F7A">
        <w:rPr>
          <w:color w:val="000000"/>
        </w:rPr>
        <w:t>DiGeronimo</w:t>
      </w:r>
      <w:proofErr w:type="spellEnd"/>
      <w:r w:rsidRPr="00257F7A">
        <w:rPr>
          <w:color w:val="000000"/>
        </w:rPr>
        <w:t xml:space="preserve">, T. F. (2004). </w:t>
      </w:r>
      <w:r w:rsidRPr="00257F7A">
        <w:rPr>
          <w:i/>
          <w:iCs/>
          <w:color w:val="000000"/>
        </w:rPr>
        <w:t>College of the overwhelmed: The campus mental health crisis and what to do about it</w:t>
      </w:r>
      <w:r w:rsidRPr="00257F7A">
        <w:rPr>
          <w:color w:val="000000"/>
        </w:rPr>
        <w:t xml:space="preserve"> (pp. vi, 296). Jossey-Bass.</w:t>
      </w:r>
    </w:p>
    <w:p w14:paraId="669B7E7A" w14:textId="77777777" w:rsidR="00D42FC0" w:rsidRDefault="00D42FC0" w:rsidP="006D50C3">
      <w:pPr>
        <w:pStyle w:val="NormalWeb"/>
        <w:tabs>
          <w:tab w:val="left" w:pos="360"/>
        </w:tabs>
        <w:spacing w:before="0" w:beforeAutospacing="0" w:after="0" w:afterAutospacing="0"/>
        <w:ind w:left="360" w:hanging="360"/>
        <w:rPr>
          <w:color w:val="222222"/>
          <w:shd w:val="clear" w:color="auto" w:fill="FFFFFF"/>
        </w:rPr>
      </w:pPr>
    </w:p>
    <w:p w14:paraId="36C9123D" w14:textId="4FD94466" w:rsidR="00D914B1" w:rsidRDefault="00D914B1" w:rsidP="006D50C3">
      <w:pPr>
        <w:tabs>
          <w:tab w:val="left" w:pos="360"/>
        </w:tabs>
        <w:ind w:left="360" w:hanging="360"/>
        <w:rPr>
          <w:rStyle w:val="Hyperlink"/>
          <w:shd w:val="clear" w:color="auto" w:fill="FFFFFF"/>
        </w:rPr>
      </w:pPr>
      <w:r w:rsidRPr="00B06D14">
        <w:rPr>
          <w:color w:val="212121"/>
          <w:shd w:val="clear" w:color="auto" w:fill="FFFFFF"/>
        </w:rPr>
        <w:t xml:space="preserve">Kessler, R. C., Foster, C. L., Saunders, W. B., &amp; </w:t>
      </w:r>
      <w:proofErr w:type="spellStart"/>
      <w:r w:rsidRPr="00B06D14">
        <w:rPr>
          <w:color w:val="212121"/>
          <w:shd w:val="clear" w:color="auto" w:fill="FFFFFF"/>
        </w:rPr>
        <w:t>Stang</w:t>
      </w:r>
      <w:proofErr w:type="spellEnd"/>
      <w:r w:rsidRPr="00B06D14">
        <w:rPr>
          <w:color w:val="212121"/>
          <w:shd w:val="clear" w:color="auto" w:fill="FFFFFF"/>
        </w:rPr>
        <w:t>, P. E. (1995). Social consequences of psychiatric disorders, I: Educational attainment. </w:t>
      </w:r>
      <w:r w:rsidRPr="00B06D14">
        <w:rPr>
          <w:i/>
          <w:iCs/>
          <w:color w:val="212121"/>
          <w:shd w:val="clear" w:color="auto" w:fill="FFFFFF"/>
        </w:rPr>
        <w:t>The American Journal of P</w:t>
      </w:r>
      <w:r>
        <w:rPr>
          <w:i/>
          <w:iCs/>
          <w:color w:val="212121"/>
          <w:shd w:val="clear" w:color="auto" w:fill="FFFFFF"/>
        </w:rPr>
        <w:t>s</w:t>
      </w:r>
      <w:r w:rsidRPr="00B06D14">
        <w:rPr>
          <w:i/>
          <w:iCs/>
          <w:color w:val="212121"/>
          <w:shd w:val="clear" w:color="auto" w:fill="FFFFFF"/>
        </w:rPr>
        <w:t>ychiatry</w:t>
      </w:r>
      <w:r w:rsidRPr="00B06D14">
        <w:rPr>
          <w:color w:val="212121"/>
          <w:shd w:val="clear" w:color="auto" w:fill="FFFFFF"/>
        </w:rPr>
        <w:t>, </w:t>
      </w:r>
      <w:r w:rsidRPr="00B06D14">
        <w:rPr>
          <w:i/>
          <w:iCs/>
          <w:color w:val="212121"/>
          <w:shd w:val="clear" w:color="auto" w:fill="FFFFFF"/>
        </w:rPr>
        <w:t>152</w:t>
      </w:r>
      <w:r w:rsidRPr="00B06D14">
        <w:rPr>
          <w:color w:val="212121"/>
          <w:shd w:val="clear" w:color="auto" w:fill="FFFFFF"/>
        </w:rPr>
        <w:t xml:space="preserve">(7), 1026–1032. </w:t>
      </w:r>
      <w:hyperlink r:id="rId49" w:history="1">
        <w:r w:rsidR="00D42FC0" w:rsidRPr="00126DCE">
          <w:rPr>
            <w:rStyle w:val="Hyperlink"/>
            <w:shd w:val="clear" w:color="auto" w:fill="FFFFFF"/>
          </w:rPr>
          <w:t>https://doi.org/10.1176/ajp.152.7.1026</w:t>
        </w:r>
      </w:hyperlink>
    </w:p>
    <w:p w14:paraId="49C3053F" w14:textId="59AD0E3D" w:rsidR="00BC3B37" w:rsidRDefault="00BC3B37" w:rsidP="006D50C3">
      <w:pPr>
        <w:tabs>
          <w:tab w:val="left" w:pos="360"/>
        </w:tabs>
        <w:ind w:left="360" w:hanging="360"/>
        <w:rPr>
          <w:rStyle w:val="Hyperlink"/>
          <w:shd w:val="clear" w:color="auto" w:fill="FFFFFF"/>
        </w:rPr>
      </w:pPr>
    </w:p>
    <w:p w14:paraId="5F081785" w14:textId="76018393" w:rsidR="00BC3B37" w:rsidRDefault="00BC3B37" w:rsidP="006D50C3">
      <w:pPr>
        <w:tabs>
          <w:tab w:val="left" w:pos="360"/>
        </w:tabs>
        <w:ind w:left="360" w:hanging="360"/>
        <w:rPr>
          <w:color w:val="212121"/>
          <w:shd w:val="clear" w:color="auto" w:fill="FFFFFF"/>
        </w:rPr>
      </w:pPr>
      <w:proofErr w:type="spellStart"/>
      <w:r w:rsidRPr="00BC3B37">
        <w:rPr>
          <w:color w:val="212121"/>
          <w:shd w:val="clear" w:color="auto" w:fill="FFFFFF"/>
        </w:rPr>
        <w:t>Kezar</w:t>
      </w:r>
      <w:proofErr w:type="spellEnd"/>
      <w:r w:rsidRPr="00BC3B37">
        <w:rPr>
          <w:color w:val="212121"/>
          <w:shd w:val="clear" w:color="auto" w:fill="FFFFFF"/>
        </w:rPr>
        <w:t>, A., &amp; Kitchen, J. A. (2020). Supporting first-generation, low-income, and</w:t>
      </w:r>
      <w:r w:rsidR="0063659E">
        <w:rPr>
          <w:color w:val="212121"/>
          <w:shd w:val="clear" w:color="auto" w:fill="FFFFFF"/>
        </w:rPr>
        <w:t xml:space="preserve"> </w:t>
      </w:r>
      <w:r w:rsidRPr="00BC3B37">
        <w:rPr>
          <w:color w:val="212121"/>
          <w:shd w:val="clear" w:color="auto" w:fill="FFFFFF"/>
        </w:rPr>
        <w:t>underrepresented students’ transitions to college through comprehensive and integrated programs. </w:t>
      </w:r>
      <w:r w:rsidRPr="00BC3B37">
        <w:rPr>
          <w:i/>
          <w:iCs/>
          <w:color w:val="212121"/>
          <w:shd w:val="clear" w:color="auto" w:fill="FFFFFF"/>
        </w:rPr>
        <w:t>American Behavioral Scientist</w:t>
      </w:r>
      <w:r w:rsidRPr="00BC3B37">
        <w:rPr>
          <w:color w:val="212121"/>
          <w:shd w:val="clear" w:color="auto" w:fill="FFFFFF"/>
        </w:rPr>
        <w:t>, </w:t>
      </w:r>
      <w:r w:rsidRPr="00BC3B37">
        <w:rPr>
          <w:i/>
          <w:iCs/>
          <w:color w:val="212121"/>
          <w:shd w:val="clear" w:color="auto" w:fill="FFFFFF"/>
        </w:rPr>
        <w:t>64</w:t>
      </w:r>
      <w:r w:rsidRPr="00BC3B37">
        <w:rPr>
          <w:color w:val="212121"/>
          <w:shd w:val="clear" w:color="auto" w:fill="FFFFFF"/>
        </w:rPr>
        <w:t>(3), 223-229.</w:t>
      </w:r>
    </w:p>
    <w:p w14:paraId="2CE5A2FC" w14:textId="77777777" w:rsidR="00D42FC0" w:rsidRPr="00257F7A" w:rsidRDefault="00D42FC0" w:rsidP="009528C1">
      <w:pPr>
        <w:pStyle w:val="NormalWeb"/>
        <w:tabs>
          <w:tab w:val="left" w:pos="360"/>
        </w:tabs>
        <w:spacing w:before="0" w:beforeAutospacing="0" w:after="0" w:afterAutospacing="0"/>
      </w:pPr>
    </w:p>
    <w:p w14:paraId="78D3D04C" w14:textId="3A4DC458" w:rsidR="00687A19" w:rsidRDefault="00687A19" w:rsidP="006D50C3">
      <w:pPr>
        <w:pStyle w:val="NormalWeb"/>
        <w:tabs>
          <w:tab w:val="left" w:pos="360"/>
        </w:tabs>
        <w:spacing w:before="0" w:beforeAutospacing="0" w:after="0" w:afterAutospacing="0"/>
        <w:ind w:left="360" w:hanging="360"/>
        <w:rPr>
          <w:color w:val="000000"/>
        </w:rPr>
      </w:pPr>
      <w:r w:rsidRPr="004A3DA8">
        <w:rPr>
          <w:color w:val="000000"/>
          <w:highlight w:val="yellow"/>
        </w:rPr>
        <w:t>Koo, K. K. (2021)</w:t>
      </w:r>
      <w:r w:rsidR="00B72AE8">
        <w:rPr>
          <w:color w:val="000000"/>
          <w:highlight w:val="yellow"/>
        </w:rPr>
        <w:t>.</w:t>
      </w:r>
      <w:r w:rsidRPr="004A3DA8">
        <w:rPr>
          <w:color w:val="000000"/>
          <w:highlight w:val="yellow"/>
        </w:rPr>
        <w:t xml:space="preserve"> Am I </w:t>
      </w:r>
      <w:r w:rsidR="004C480D">
        <w:rPr>
          <w:color w:val="000000"/>
          <w:highlight w:val="yellow"/>
        </w:rPr>
        <w:t>w</w:t>
      </w:r>
      <w:r w:rsidRPr="004A3DA8">
        <w:rPr>
          <w:color w:val="000000"/>
          <w:highlight w:val="yellow"/>
        </w:rPr>
        <w:t xml:space="preserve">elcome </w:t>
      </w:r>
      <w:r w:rsidR="004C480D">
        <w:rPr>
          <w:color w:val="000000"/>
          <w:highlight w:val="yellow"/>
        </w:rPr>
        <w:t>h</w:t>
      </w:r>
      <w:r w:rsidRPr="004A3DA8">
        <w:rPr>
          <w:color w:val="000000"/>
          <w:highlight w:val="yellow"/>
        </w:rPr>
        <w:t xml:space="preserve">ere? Campus </w:t>
      </w:r>
      <w:r w:rsidR="004C480D">
        <w:rPr>
          <w:color w:val="000000"/>
          <w:highlight w:val="yellow"/>
        </w:rPr>
        <w:t>c</w:t>
      </w:r>
      <w:r w:rsidRPr="004A3DA8">
        <w:rPr>
          <w:color w:val="000000"/>
          <w:highlight w:val="yellow"/>
        </w:rPr>
        <w:t xml:space="preserve">limate and </w:t>
      </w:r>
      <w:r w:rsidR="004C480D">
        <w:rPr>
          <w:color w:val="000000"/>
          <w:highlight w:val="yellow"/>
        </w:rPr>
        <w:t>p</w:t>
      </w:r>
      <w:r w:rsidRPr="004A3DA8">
        <w:rPr>
          <w:color w:val="000000"/>
          <w:highlight w:val="yellow"/>
        </w:rPr>
        <w:t xml:space="preserve">sychological </w:t>
      </w:r>
      <w:r w:rsidR="004C480D">
        <w:rPr>
          <w:color w:val="000000"/>
          <w:highlight w:val="yellow"/>
        </w:rPr>
        <w:t>w</w:t>
      </w:r>
      <w:r w:rsidRPr="004A3DA8">
        <w:rPr>
          <w:color w:val="000000"/>
          <w:highlight w:val="yellow"/>
        </w:rPr>
        <w:t>ell-</w:t>
      </w:r>
      <w:r w:rsidR="004C480D">
        <w:rPr>
          <w:color w:val="000000"/>
          <w:highlight w:val="yellow"/>
        </w:rPr>
        <w:t>b</w:t>
      </w:r>
      <w:r w:rsidRPr="004A3DA8">
        <w:rPr>
          <w:color w:val="000000"/>
          <w:highlight w:val="yellow"/>
        </w:rPr>
        <w:t xml:space="preserve">eing </w:t>
      </w:r>
      <w:r w:rsidR="004C480D">
        <w:rPr>
          <w:color w:val="000000"/>
          <w:highlight w:val="yellow"/>
        </w:rPr>
        <w:t>a</w:t>
      </w:r>
      <w:r w:rsidRPr="004A3DA8">
        <w:rPr>
          <w:color w:val="000000"/>
          <w:highlight w:val="yellow"/>
        </w:rPr>
        <w:t xml:space="preserve">mong </w:t>
      </w:r>
      <w:r w:rsidR="004C480D">
        <w:rPr>
          <w:color w:val="000000"/>
          <w:highlight w:val="yellow"/>
        </w:rPr>
        <w:t>s</w:t>
      </w:r>
      <w:r w:rsidRPr="004A3DA8">
        <w:rPr>
          <w:color w:val="000000"/>
          <w:highlight w:val="yellow"/>
        </w:rPr>
        <w:t xml:space="preserve">tudents of </w:t>
      </w:r>
      <w:r w:rsidR="004C480D">
        <w:rPr>
          <w:color w:val="000000"/>
          <w:highlight w:val="yellow"/>
        </w:rPr>
        <w:t>c</w:t>
      </w:r>
      <w:r w:rsidRPr="004A3DA8">
        <w:rPr>
          <w:color w:val="000000"/>
          <w:highlight w:val="yellow"/>
        </w:rPr>
        <w:t xml:space="preserve">olor. </w:t>
      </w:r>
      <w:r w:rsidRPr="004A3DA8">
        <w:rPr>
          <w:i/>
          <w:iCs/>
          <w:color w:val="000000"/>
          <w:highlight w:val="yellow"/>
        </w:rPr>
        <w:t>Journal of Student Affairs Research and Practice</w:t>
      </w:r>
      <w:r w:rsidRPr="004A3DA8">
        <w:rPr>
          <w:color w:val="000000"/>
          <w:highlight w:val="yellow"/>
        </w:rPr>
        <w:t xml:space="preserve">, </w:t>
      </w:r>
      <w:r w:rsidRPr="004A3DA8">
        <w:rPr>
          <w:i/>
          <w:iCs/>
          <w:color w:val="000000"/>
          <w:highlight w:val="yellow"/>
        </w:rPr>
        <w:t>58</w:t>
      </w:r>
      <w:r w:rsidRPr="004A3DA8">
        <w:rPr>
          <w:color w:val="000000"/>
          <w:highlight w:val="yellow"/>
        </w:rPr>
        <w:t xml:space="preserve">(2), 196-213, </w:t>
      </w:r>
      <w:hyperlink r:id="rId50" w:history="1">
        <w:r w:rsidRPr="004A3DA8">
          <w:rPr>
            <w:rStyle w:val="Hyperlink"/>
            <w:highlight w:val="yellow"/>
          </w:rPr>
          <w:t>https://doi.org/10.1080/19496591.2020.1853557</w:t>
        </w:r>
      </w:hyperlink>
      <w:r>
        <w:rPr>
          <w:color w:val="000000"/>
        </w:rPr>
        <w:t xml:space="preserve"> </w:t>
      </w:r>
      <w:r w:rsidRPr="00687A19">
        <w:rPr>
          <w:color w:val="000000"/>
        </w:rPr>
        <w:t xml:space="preserve"> </w:t>
      </w:r>
      <w:r>
        <w:rPr>
          <w:color w:val="000000"/>
        </w:rPr>
        <w:t xml:space="preserve"> </w:t>
      </w:r>
    </w:p>
    <w:p w14:paraId="0183F9B5" w14:textId="77777777" w:rsidR="00687A19" w:rsidRDefault="00687A19" w:rsidP="006D50C3">
      <w:pPr>
        <w:pStyle w:val="NormalWeb"/>
        <w:tabs>
          <w:tab w:val="left" w:pos="360"/>
        </w:tabs>
        <w:spacing w:before="0" w:beforeAutospacing="0" w:after="0" w:afterAutospacing="0"/>
        <w:ind w:left="360" w:hanging="360"/>
        <w:rPr>
          <w:color w:val="000000"/>
        </w:rPr>
      </w:pPr>
    </w:p>
    <w:p w14:paraId="1E997522" w14:textId="131503DB" w:rsidR="006E6F08" w:rsidRDefault="006E6F08" w:rsidP="006D50C3">
      <w:pPr>
        <w:pStyle w:val="NormalWeb"/>
        <w:tabs>
          <w:tab w:val="left" w:pos="360"/>
        </w:tabs>
        <w:spacing w:before="0" w:beforeAutospacing="0" w:after="0" w:afterAutospacing="0"/>
        <w:ind w:left="360" w:hanging="360"/>
      </w:pPr>
      <w:r w:rsidRPr="00257F7A">
        <w:rPr>
          <w:color w:val="000000"/>
        </w:rPr>
        <w:t xml:space="preserve">Leary, K. A., &amp; </w:t>
      </w:r>
      <w:proofErr w:type="spellStart"/>
      <w:r w:rsidRPr="00257F7A">
        <w:rPr>
          <w:color w:val="000000"/>
        </w:rPr>
        <w:t>DeRosier</w:t>
      </w:r>
      <w:proofErr w:type="spellEnd"/>
      <w:r w:rsidRPr="00257F7A">
        <w:rPr>
          <w:color w:val="000000"/>
        </w:rPr>
        <w:t xml:space="preserve">, M. E. (2012). Factors </w:t>
      </w:r>
      <w:r w:rsidR="00B864AD">
        <w:rPr>
          <w:color w:val="000000"/>
        </w:rPr>
        <w:t>p</w:t>
      </w:r>
      <w:r w:rsidRPr="00257F7A">
        <w:rPr>
          <w:color w:val="000000"/>
        </w:rPr>
        <w:t xml:space="preserve">romoting </w:t>
      </w:r>
      <w:r w:rsidR="00B864AD">
        <w:rPr>
          <w:color w:val="000000"/>
        </w:rPr>
        <w:t>p</w:t>
      </w:r>
      <w:r w:rsidRPr="00257F7A">
        <w:rPr>
          <w:color w:val="000000"/>
        </w:rPr>
        <w:t xml:space="preserve">ositive </w:t>
      </w:r>
      <w:r w:rsidR="00B864AD">
        <w:rPr>
          <w:color w:val="000000"/>
        </w:rPr>
        <w:t>a</w:t>
      </w:r>
      <w:r w:rsidRPr="00257F7A">
        <w:rPr>
          <w:color w:val="000000"/>
        </w:rPr>
        <w:t xml:space="preserve">daptation and </w:t>
      </w:r>
      <w:r w:rsidR="00B864AD">
        <w:rPr>
          <w:color w:val="000000"/>
        </w:rPr>
        <w:t>r</w:t>
      </w:r>
      <w:r w:rsidRPr="00257F7A">
        <w:rPr>
          <w:color w:val="000000"/>
        </w:rPr>
        <w:t xml:space="preserve">esilience during the </w:t>
      </w:r>
      <w:r w:rsidR="00B864AD">
        <w:rPr>
          <w:color w:val="000000"/>
        </w:rPr>
        <w:t>t</w:t>
      </w:r>
      <w:r w:rsidRPr="00257F7A">
        <w:rPr>
          <w:color w:val="000000"/>
        </w:rPr>
        <w:t xml:space="preserve">ransition to </w:t>
      </w:r>
      <w:r w:rsidR="00B864AD">
        <w:rPr>
          <w:color w:val="000000"/>
        </w:rPr>
        <w:t>c</w:t>
      </w:r>
      <w:r w:rsidRPr="00257F7A">
        <w:rPr>
          <w:color w:val="000000"/>
        </w:rPr>
        <w:t xml:space="preserve">ollege. </w:t>
      </w:r>
      <w:r w:rsidRPr="00257F7A">
        <w:rPr>
          <w:i/>
          <w:iCs/>
          <w:color w:val="000000"/>
        </w:rPr>
        <w:t>Psychology</w:t>
      </w:r>
      <w:r w:rsidRPr="00257F7A">
        <w:rPr>
          <w:color w:val="000000"/>
        </w:rPr>
        <w:t xml:space="preserve">, </w:t>
      </w:r>
      <w:r w:rsidRPr="00257F7A">
        <w:rPr>
          <w:i/>
          <w:iCs/>
          <w:color w:val="000000"/>
        </w:rPr>
        <w:t>3</w:t>
      </w:r>
      <w:r w:rsidRPr="00257F7A">
        <w:rPr>
          <w:color w:val="000000"/>
        </w:rPr>
        <w:t>(12), 1215–1222.</w:t>
      </w:r>
      <w:r w:rsidR="0063659E">
        <w:rPr>
          <w:color w:val="000000"/>
        </w:rPr>
        <w:t xml:space="preserve"> </w:t>
      </w:r>
      <w:hyperlink r:id="rId51" w:history="1">
        <w:r w:rsidR="0063659E" w:rsidRPr="00BF01B9">
          <w:rPr>
            <w:rStyle w:val="Hyperlink"/>
          </w:rPr>
          <w:t>https://doi.org/10.4236/psych.2012.312A180</w:t>
        </w:r>
      </w:hyperlink>
    </w:p>
    <w:p w14:paraId="0DCECA71" w14:textId="5139184F" w:rsidR="00F10235" w:rsidRDefault="00F10235" w:rsidP="006D50C3">
      <w:pPr>
        <w:pStyle w:val="NormalWeb"/>
        <w:tabs>
          <w:tab w:val="left" w:pos="360"/>
        </w:tabs>
        <w:spacing w:before="0" w:beforeAutospacing="0" w:after="0" w:afterAutospacing="0"/>
        <w:ind w:left="360" w:hanging="360"/>
      </w:pPr>
    </w:p>
    <w:p w14:paraId="4F2CED83" w14:textId="218F1BE6" w:rsidR="00F10235" w:rsidRPr="00F10235" w:rsidRDefault="00F10235" w:rsidP="006D50C3">
      <w:pPr>
        <w:pStyle w:val="NormalWeb"/>
        <w:tabs>
          <w:tab w:val="left" w:pos="360"/>
        </w:tabs>
        <w:snapToGrid w:val="0"/>
        <w:spacing w:before="0" w:beforeAutospacing="0" w:after="0" w:afterAutospacing="0"/>
        <w:ind w:left="360" w:hanging="360"/>
      </w:pPr>
      <w:r w:rsidRPr="00F10235">
        <w:t>Lipson, S. K., Kern, A., Eisenberg, D., &amp; Breland-Noble, A. M. (2018). Mental health disparities among college students of color. </w:t>
      </w:r>
      <w:r w:rsidRPr="00F10235">
        <w:rPr>
          <w:i/>
          <w:iCs/>
        </w:rPr>
        <w:t>Journal of Adolescent Health</w:t>
      </w:r>
      <w:r w:rsidRPr="00F10235">
        <w:t>, </w:t>
      </w:r>
      <w:r w:rsidRPr="00F10235">
        <w:rPr>
          <w:i/>
          <w:iCs/>
        </w:rPr>
        <w:t>63</w:t>
      </w:r>
      <w:r w:rsidRPr="00F10235">
        <w:t>(3), 348-356.</w:t>
      </w:r>
      <w:r w:rsidR="002E5482">
        <w:t xml:space="preserve"> </w:t>
      </w:r>
      <w:hyperlink r:id="rId52" w:tgtFrame="_blank" w:tooltip="Persistent link using digital object identifier" w:history="1">
        <w:r w:rsidR="002E5482" w:rsidRPr="002E5482">
          <w:rPr>
            <w:rStyle w:val="Hyperlink"/>
          </w:rPr>
          <w:t>https://doi.org/10.1016/j.jadohealth.2018.04.014</w:t>
        </w:r>
      </w:hyperlink>
    </w:p>
    <w:p w14:paraId="16665E93" w14:textId="77777777" w:rsidR="00F10235" w:rsidRDefault="00F10235" w:rsidP="006D50C3">
      <w:pPr>
        <w:pStyle w:val="NormalWeb"/>
        <w:tabs>
          <w:tab w:val="left" w:pos="360"/>
        </w:tabs>
        <w:spacing w:before="0" w:beforeAutospacing="0" w:after="0" w:afterAutospacing="0"/>
        <w:ind w:left="360" w:hanging="360"/>
      </w:pPr>
    </w:p>
    <w:p w14:paraId="3132E131" w14:textId="28B2D880" w:rsidR="00D42FC0" w:rsidRDefault="00550F40" w:rsidP="006D50C3">
      <w:pPr>
        <w:tabs>
          <w:tab w:val="left" w:pos="360"/>
        </w:tabs>
        <w:ind w:left="360" w:hanging="360"/>
        <w:rPr>
          <w:rStyle w:val="Hyperlink"/>
          <w:shd w:val="clear" w:color="auto" w:fill="FFFFFF"/>
        </w:rPr>
      </w:pPr>
      <w:r w:rsidRPr="00257F7A">
        <w:rPr>
          <w:color w:val="222222"/>
          <w:shd w:val="clear" w:color="auto" w:fill="FFFFFF"/>
        </w:rPr>
        <w:t xml:space="preserve">Liu, C. H., Stevens, C., Wong, S., </w:t>
      </w:r>
      <w:proofErr w:type="spellStart"/>
      <w:r w:rsidRPr="00257F7A">
        <w:rPr>
          <w:color w:val="222222"/>
          <w:shd w:val="clear" w:color="auto" w:fill="FFFFFF"/>
        </w:rPr>
        <w:t>Yasui</w:t>
      </w:r>
      <w:proofErr w:type="spellEnd"/>
      <w:r w:rsidRPr="00257F7A">
        <w:rPr>
          <w:color w:val="222222"/>
          <w:shd w:val="clear" w:color="auto" w:fill="FFFFFF"/>
        </w:rPr>
        <w:t>, M., &amp; Chen, J. A. (2019). The prevalence and</w:t>
      </w:r>
      <w:r w:rsidR="0063659E">
        <w:rPr>
          <w:color w:val="222222"/>
          <w:shd w:val="clear" w:color="auto" w:fill="FFFFFF"/>
        </w:rPr>
        <w:t xml:space="preserve"> </w:t>
      </w:r>
      <w:r w:rsidRPr="00257F7A">
        <w:rPr>
          <w:color w:val="222222"/>
          <w:shd w:val="clear" w:color="auto" w:fill="FFFFFF"/>
        </w:rPr>
        <w:t xml:space="preserve">predictors of mental health diagnoses and suicide among U.S. college students: Implications for addressing disparities in service use. </w:t>
      </w:r>
      <w:r w:rsidRPr="00257F7A">
        <w:rPr>
          <w:i/>
          <w:iCs/>
          <w:color w:val="222222"/>
          <w:shd w:val="clear" w:color="auto" w:fill="FFFFFF"/>
        </w:rPr>
        <w:t xml:space="preserve">Depression and </w:t>
      </w:r>
      <w:r w:rsidR="00B864AD">
        <w:rPr>
          <w:i/>
          <w:iCs/>
          <w:color w:val="222222"/>
          <w:shd w:val="clear" w:color="auto" w:fill="FFFFFF"/>
        </w:rPr>
        <w:t>A</w:t>
      </w:r>
      <w:r w:rsidRPr="00257F7A">
        <w:rPr>
          <w:i/>
          <w:iCs/>
          <w:color w:val="222222"/>
          <w:shd w:val="clear" w:color="auto" w:fill="FFFFFF"/>
        </w:rPr>
        <w:t>nxiety</w:t>
      </w:r>
      <w:r w:rsidRPr="00257F7A">
        <w:rPr>
          <w:color w:val="222222"/>
          <w:shd w:val="clear" w:color="auto" w:fill="FFFFFF"/>
        </w:rPr>
        <w:t xml:space="preserve">, </w:t>
      </w:r>
      <w:r w:rsidRPr="00257F7A">
        <w:rPr>
          <w:i/>
          <w:iCs/>
          <w:color w:val="222222"/>
          <w:shd w:val="clear" w:color="auto" w:fill="FFFFFF"/>
        </w:rPr>
        <w:t>36</w:t>
      </w:r>
      <w:r w:rsidRPr="00257F7A">
        <w:rPr>
          <w:color w:val="222222"/>
          <w:shd w:val="clear" w:color="auto" w:fill="FFFFFF"/>
        </w:rPr>
        <w:t xml:space="preserve">(1), 8–17. </w:t>
      </w:r>
      <w:hyperlink r:id="rId53" w:history="1">
        <w:r w:rsidR="00D42FC0" w:rsidRPr="00126DCE">
          <w:rPr>
            <w:rStyle w:val="Hyperlink"/>
            <w:shd w:val="clear" w:color="auto" w:fill="FFFFFF"/>
          </w:rPr>
          <w:t>https://doi.org/10.1002/da.22830</w:t>
        </w:r>
      </w:hyperlink>
    </w:p>
    <w:p w14:paraId="6ABAF3F0" w14:textId="77777777" w:rsidR="006D50C3" w:rsidRDefault="006D50C3" w:rsidP="006D50C3">
      <w:pPr>
        <w:pStyle w:val="NormalWeb"/>
        <w:tabs>
          <w:tab w:val="left" w:pos="360"/>
        </w:tabs>
        <w:spacing w:before="0" w:beforeAutospacing="0" w:after="0" w:afterAutospacing="0"/>
        <w:ind w:left="360" w:hanging="360"/>
      </w:pPr>
    </w:p>
    <w:p w14:paraId="7B467785" w14:textId="6F2975E2" w:rsidR="00F66432" w:rsidRDefault="00F66432" w:rsidP="006D50C3">
      <w:pPr>
        <w:pStyle w:val="NormalWeb"/>
        <w:tabs>
          <w:tab w:val="left" w:pos="360"/>
        </w:tabs>
        <w:spacing w:before="0" w:beforeAutospacing="0" w:after="0" w:afterAutospacing="0"/>
        <w:ind w:left="360" w:hanging="360"/>
      </w:pPr>
      <w:proofErr w:type="spellStart"/>
      <w:r w:rsidRPr="00F66432">
        <w:lastRenderedPageBreak/>
        <w:t>Maymon</w:t>
      </w:r>
      <w:proofErr w:type="spellEnd"/>
      <w:r w:rsidRPr="00F66432">
        <w:t xml:space="preserve">, R., Hall, N. C., &amp; Harley, J. M. (2019). Supporting </w:t>
      </w:r>
      <w:r w:rsidR="00B864AD">
        <w:t>f</w:t>
      </w:r>
      <w:r w:rsidRPr="00F66432">
        <w:t>irst-</w:t>
      </w:r>
      <w:r w:rsidR="00B864AD">
        <w:t>y</w:t>
      </w:r>
      <w:r w:rsidRPr="00F66432">
        <w:t xml:space="preserve">ear </w:t>
      </w:r>
      <w:r w:rsidR="00B864AD">
        <w:t>s</w:t>
      </w:r>
      <w:r w:rsidRPr="00F66432">
        <w:t xml:space="preserve">tudents </w:t>
      </w:r>
      <w:r w:rsidR="00B864AD">
        <w:t>d</w:t>
      </w:r>
      <w:r w:rsidRPr="00F66432">
        <w:t xml:space="preserve">uring the </w:t>
      </w:r>
      <w:r w:rsidR="00B864AD">
        <w:t>t</w:t>
      </w:r>
      <w:r w:rsidRPr="00F66432">
        <w:t xml:space="preserve">ransition to </w:t>
      </w:r>
      <w:r w:rsidR="00B864AD">
        <w:t>h</w:t>
      </w:r>
      <w:r w:rsidRPr="00F66432">
        <w:t xml:space="preserve">igher </w:t>
      </w:r>
      <w:r w:rsidR="00B864AD">
        <w:t>e</w:t>
      </w:r>
      <w:r w:rsidRPr="00F66432">
        <w:t xml:space="preserve">ducation: The </w:t>
      </w:r>
      <w:r w:rsidR="00B864AD">
        <w:t>i</w:t>
      </w:r>
      <w:r w:rsidRPr="00F66432">
        <w:t xml:space="preserve">mportance of </w:t>
      </w:r>
      <w:r w:rsidR="00B864AD">
        <w:t>q</w:t>
      </w:r>
      <w:r w:rsidRPr="00F66432">
        <w:t xml:space="preserve">uality and </w:t>
      </w:r>
      <w:r w:rsidR="00B864AD">
        <w:t>s</w:t>
      </w:r>
      <w:r w:rsidRPr="00F66432">
        <w:t xml:space="preserve">ource of </w:t>
      </w:r>
      <w:r w:rsidR="00B864AD">
        <w:t>r</w:t>
      </w:r>
      <w:r w:rsidRPr="00F66432">
        <w:t xml:space="preserve">eceived </w:t>
      </w:r>
      <w:r w:rsidR="00B864AD">
        <w:t>s</w:t>
      </w:r>
      <w:r w:rsidRPr="00F66432">
        <w:t xml:space="preserve">upport for </w:t>
      </w:r>
      <w:r w:rsidR="00B864AD">
        <w:t>s</w:t>
      </w:r>
      <w:r w:rsidRPr="00F66432">
        <w:t xml:space="preserve">tudent </w:t>
      </w:r>
      <w:r w:rsidR="00B864AD">
        <w:t>w</w:t>
      </w:r>
      <w:r w:rsidRPr="00F66432">
        <w:t>ell-</w:t>
      </w:r>
      <w:r w:rsidR="00B864AD">
        <w:t>b</w:t>
      </w:r>
      <w:r w:rsidRPr="00F66432">
        <w:t xml:space="preserve">eing. </w:t>
      </w:r>
      <w:r w:rsidRPr="00F66432">
        <w:rPr>
          <w:i/>
          <w:iCs/>
        </w:rPr>
        <w:t>Student Success, 10</w:t>
      </w:r>
      <w:r w:rsidRPr="00F66432">
        <w:t>(3), 64–75.</w:t>
      </w:r>
      <w:r w:rsidR="0063659E">
        <w:t xml:space="preserve"> </w:t>
      </w:r>
      <w:hyperlink r:id="rId54" w:history="1">
        <w:r w:rsidR="00A90E64" w:rsidRPr="00BF01B9">
          <w:rPr>
            <w:rStyle w:val="Hyperlink"/>
          </w:rPr>
          <w:t>https://doi.org/10.5204/ssj.v10i3.1407</w:t>
        </w:r>
      </w:hyperlink>
    </w:p>
    <w:p w14:paraId="370BAFDA" w14:textId="77777777" w:rsidR="00D42FC0" w:rsidRPr="00257F7A" w:rsidRDefault="00D42FC0" w:rsidP="006D50C3">
      <w:pPr>
        <w:pStyle w:val="NormalWeb"/>
        <w:tabs>
          <w:tab w:val="left" w:pos="360"/>
        </w:tabs>
        <w:spacing w:before="0" w:beforeAutospacing="0" w:after="0" w:afterAutospacing="0"/>
        <w:ind w:left="360" w:hanging="360"/>
      </w:pPr>
    </w:p>
    <w:p w14:paraId="09F120FA" w14:textId="13CD6713"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McClain, S., Beasley, S. T., Jones, B., </w:t>
      </w:r>
      <w:proofErr w:type="spellStart"/>
      <w:r w:rsidRPr="00257F7A">
        <w:rPr>
          <w:color w:val="000000"/>
        </w:rPr>
        <w:t>Awosogba</w:t>
      </w:r>
      <w:proofErr w:type="spellEnd"/>
      <w:r w:rsidRPr="00257F7A">
        <w:rPr>
          <w:color w:val="000000"/>
        </w:rPr>
        <w:t xml:space="preserve">, O., Jackson, S., &amp; </w:t>
      </w:r>
      <w:proofErr w:type="spellStart"/>
      <w:r w:rsidRPr="00257F7A">
        <w:rPr>
          <w:color w:val="000000"/>
        </w:rPr>
        <w:t>Cokley</w:t>
      </w:r>
      <w:proofErr w:type="spellEnd"/>
      <w:r w:rsidRPr="00257F7A">
        <w:rPr>
          <w:color w:val="000000"/>
        </w:rPr>
        <w:t>, K. (2016). An examination of the impact of racial and ethnic identity, impostor feelings, and minority</w:t>
      </w:r>
      <w:r w:rsidR="00A90E64">
        <w:rPr>
          <w:color w:val="000000"/>
        </w:rPr>
        <w:t xml:space="preserve"> </w:t>
      </w:r>
      <w:r w:rsidRPr="00257F7A">
        <w:rPr>
          <w:color w:val="000000"/>
        </w:rPr>
        <w:t xml:space="preserve">status stress on the mental health of Black college students. </w:t>
      </w:r>
      <w:r w:rsidRPr="00257F7A">
        <w:rPr>
          <w:i/>
          <w:iCs/>
          <w:color w:val="000000"/>
        </w:rPr>
        <w:t xml:space="preserve">Journal of Multicultural </w:t>
      </w:r>
      <w:r w:rsidR="00F63BBD" w:rsidRPr="00257F7A">
        <w:rPr>
          <w:i/>
          <w:iCs/>
          <w:color w:val="000000"/>
        </w:rPr>
        <w:tab/>
      </w:r>
      <w:r w:rsidRPr="00257F7A">
        <w:rPr>
          <w:i/>
          <w:iCs/>
          <w:color w:val="000000"/>
        </w:rPr>
        <w:t>Counseling</w:t>
      </w:r>
      <w:r w:rsidR="00A90E64">
        <w:rPr>
          <w:i/>
          <w:iCs/>
          <w:color w:val="000000"/>
        </w:rPr>
        <w:t xml:space="preserve"> </w:t>
      </w:r>
      <w:r w:rsidRPr="00257F7A">
        <w:rPr>
          <w:i/>
          <w:iCs/>
          <w:color w:val="000000"/>
        </w:rPr>
        <w:t>and Development</w:t>
      </w:r>
      <w:r w:rsidRPr="00257F7A">
        <w:rPr>
          <w:color w:val="000000"/>
        </w:rPr>
        <w:t xml:space="preserve">, </w:t>
      </w:r>
      <w:r w:rsidRPr="00257F7A">
        <w:rPr>
          <w:i/>
          <w:iCs/>
          <w:color w:val="000000"/>
        </w:rPr>
        <w:t>44</w:t>
      </w:r>
      <w:r w:rsidRPr="00257F7A">
        <w:rPr>
          <w:color w:val="000000"/>
        </w:rPr>
        <w:t xml:space="preserve">(2), 101–117. </w:t>
      </w:r>
      <w:hyperlink r:id="rId55" w:history="1">
        <w:r w:rsidR="00D42FC0" w:rsidRPr="00126DCE">
          <w:rPr>
            <w:rStyle w:val="Hyperlink"/>
          </w:rPr>
          <w:t>https://doi.org/10.1002/jmcd.12040</w:t>
        </w:r>
      </w:hyperlink>
    </w:p>
    <w:p w14:paraId="4D37BC4E" w14:textId="4EE9705F" w:rsidR="00A26F0A" w:rsidRPr="00A26F0A" w:rsidRDefault="00A26F0A" w:rsidP="00A26F0A">
      <w:pPr>
        <w:pStyle w:val="NormalWeb"/>
        <w:tabs>
          <w:tab w:val="left" w:pos="360"/>
        </w:tabs>
        <w:ind w:left="360" w:hanging="360"/>
        <w:rPr>
          <w:color w:val="222222"/>
          <w:shd w:val="clear" w:color="auto" w:fill="FFFFFF"/>
        </w:rPr>
      </w:pPr>
      <w:proofErr w:type="spellStart"/>
      <w:r w:rsidRPr="00A26F0A">
        <w:rPr>
          <w:color w:val="222222"/>
          <w:highlight w:val="yellow"/>
          <w:shd w:val="clear" w:color="auto" w:fill="FFFFFF"/>
        </w:rPr>
        <w:t>Mcdermott</w:t>
      </w:r>
      <w:proofErr w:type="spellEnd"/>
      <w:r w:rsidRPr="00A26F0A">
        <w:rPr>
          <w:color w:val="222222"/>
          <w:highlight w:val="yellow"/>
          <w:shd w:val="clear" w:color="auto" w:fill="FFFFFF"/>
        </w:rPr>
        <w:t xml:space="preserve">, R. C., </w:t>
      </w:r>
      <w:proofErr w:type="spellStart"/>
      <w:r w:rsidRPr="00A26F0A">
        <w:rPr>
          <w:color w:val="222222"/>
          <w:highlight w:val="yellow"/>
          <w:shd w:val="clear" w:color="auto" w:fill="FFFFFF"/>
        </w:rPr>
        <w:t>Fruh</w:t>
      </w:r>
      <w:proofErr w:type="spellEnd"/>
      <w:r w:rsidRPr="00A26F0A">
        <w:rPr>
          <w:color w:val="222222"/>
          <w:highlight w:val="yellow"/>
          <w:shd w:val="clear" w:color="auto" w:fill="FFFFFF"/>
        </w:rPr>
        <w:t xml:space="preserve">, S. M., Williams, S., </w:t>
      </w:r>
      <w:proofErr w:type="spellStart"/>
      <w:r w:rsidRPr="00A26F0A">
        <w:rPr>
          <w:color w:val="222222"/>
          <w:highlight w:val="yellow"/>
          <w:shd w:val="clear" w:color="auto" w:fill="FFFFFF"/>
        </w:rPr>
        <w:t>Hauff</w:t>
      </w:r>
      <w:proofErr w:type="spellEnd"/>
      <w:r w:rsidRPr="00A26F0A">
        <w:rPr>
          <w:color w:val="222222"/>
          <w:highlight w:val="yellow"/>
          <w:shd w:val="clear" w:color="auto" w:fill="FFFFFF"/>
        </w:rPr>
        <w:t>, C., Graves, R. J., Melnyk, B. M., &amp; Hall, H. R. (2020). Nursing students’ resilience, depression, well‐being, and academic distress: Testing a moderated mediation model. </w:t>
      </w:r>
      <w:r w:rsidRPr="00A26F0A">
        <w:rPr>
          <w:i/>
          <w:iCs/>
          <w:color w:val="222222"/>
          <w:highlight w:val="yellow"/>
          <w:shd w:val="clear" w:color="auto" w:fill="FFFFFF"/>
        </w:rPr>
        <w:t>Journal of Advanced Nursing</w:t>
      </w:r>
      <w:r w:rsidRPr="00A26F0A">
        <w:rPr>
          <w:color w:val="222222"/>
          <w:highlight w:val="yellow"/>
          <w:shd w:val="clear" w:color="auto" w:fill="FFFFFF"/>
        </w:rPr>
        <w:t>, </w:t>
      </w:r>
      <w:r w:rsidRPr="00A26F0A">
        <w:rPr>
          <w:i/>
          <w:iCs/>
          <w:color w:val="222222"/>
          <w:highlight w:val="yellow"/>
          <w:shd w:val="clear" w:color="auto" w:fill="FFFFFF"/>
        </w:rPr>
        <w:t>76</w:t>
      </w:r>
      <w:r w:rsidRPr="00A26F0A">
        <w:rPr>
          <w:color w:val="222222"/>
          <w:highlight w:val="yellow"/>
          <w:shd w:val="clear" w:color="auto" w:fill="FFFFFF"/>
        </w:rPr>
        <w:t xml:space="preserve">(12), 3385-3397. </w:t>
      </w:r>
      <w:hyperlink r:id="rId56" w:history="1">
        <w:r w:rsidRPr="00A26F0A">
          <w:rPr>
            <w:rStyle w:val="Hyperlink"/>
            <w:highlight w:val="yellow"/>
            <w:shd w:val="clear" w:color="auto" w:fill="FFFFFF"/>
          </w:rPr>
          <w:t>https://doi.org/10.1111/jan.14531</w:t>
        </w:r>
      </w:hyperlink>
    </w:p>
    <w:p w14:paraId="6B57CC70" w14:textId="29BFF778" w:rsidR="00D42FC0" w:rsidRDefault="000975B7" w:rsidP="00A26F0A">
      <w:pPr>
        <w:pStyle w:val="NormalWeb"/>
        <w:tabs>
          <w:tab w:val="left" w:pos="360"/>
        </w:tabs>
        <w:spacing w:before="0" w:beforeAutospacing="0" w:after="0" w:afterAutospacing="0"/>
        <w:ind w:left="360" w:hanging="360"/>
        <w:rPr>
          <w:color w:val="222222"/>
          <w:shd w:val="clear" w:color="auto" w:fill="FFFFFF"/>
        </w:rPr>
      </w:pPr>
      <w:r w:rsidRPr="00257F7A">
        <w:rPr>
          <w:color w:val="222222"/>
          <w:shd w:val="clear" w:color="auto" w:fill="FFFFFF"/>
        </w:rPr>
        <w:t xml:space="preserve">McDougal, S., Cox, W., </w:t>
      </w:r>
      <w:proofErr w:type="spellStart"/>
      <w:r w:rsidRPr="00257F7A">
        <w:rPr>
          <w:color w:val="222222"/>
          <w:shd w:val="clear" w:color="auto" w:fill="FFFFFF"/>
        </w:rPr>
        <w:t>Dorley</w:t>
      </w:r>
      <w:proofErr w:type="spellEnd"/>
      <w:r w:rsidRPr="00257F7A">
        <w:rPr>
          <w:color w:val="222222"/>
          <w:shd w:val="clear" w:color="auto" w:fill="FFFFFF"/>
        </w:rPr>
        <w:t xml:space="preserve">, T., &amp; </w:t>
      </w:r>
      <w:proofErr w:type="spellStart"/>
      <w:r w:rsidRPr="00257F7A">
        <w:rPr>
          <w:color w:val="222222"/>
          <w:shd w:val="clear" w:color="auto" w:fill="FFFFFF"/>
        </w:rPr>
        <w:t>Wodaje</w:t>
      </w:r>
      <w:proofErr w:type="spellEnd"/>
      <w:r w:rsidRPr="00257F7A">
        <w:rPr>
          <w:color w:val="222222"/>
          <w:shd w:val="clear" w:color="auto" w:fill="FFFFFF"/>
        </w:rPr>
        <w:t xml:space="preserve">, H. (2018). Black </w:t>
      </w:r>
      <w:r w:rsidR="00B864AD">
        <w:rPr>
          <w:color w:val="222222"/>
          <w:shd w:val="clear" w:color="auto" w:fill="FFFFFF"/>
        </w:rPr>
        <w:t>s</w:t>
      </w:r>
      <w:r w:rsidRPr="00257F7A">
        <w:rPr>
          <w:color w:val="222222"/>
          <w:shd w:val="clear" w:color="auto" w:fill="FFFFFF"/>
        </w:rPr>
        <w:t xml:space="preserve">tudent </w:t>
      </w:r>
      <w:r w:rsidR="00B864AD">
        <w:rPr>
          <w:color w:val="222222"/>
          <w:shd w:val="clear" w:color="auto" w:fill="FFFFFF"/>
        </w:rPr>
        <w:t>e</w:t>
      </w:r>
      <w:r w:rsidRPr="00257F7A">
        <w:rPr>
          <w:color w:val="222222"/>
          <w:shd w:val="clear" w:color="auto" w:fill="FFFFFF"/>
        </w:rPr>
        <w:t>ngagement:</w:t>
      </w:r>
      <w:r w:rsidR="00A90E64">
        <w:rPr>
          <w:color w:val="222222"/>
          <w:shd w:val="clear" w:color="auto" w:fill="FFFFFF"/>
        </w:rPr>
        <w:t xml:space="preserve"> </w:t>
      </w:r>
      <w:r w:rsidRPr="00257F7A">
        <w:rPr>
          <w:color w:val="222222"/>
          <w:shd w:val="clear" w:color="auto" w:fill="FFFFFF"/>
        </w:rPr>
        <w:t xml:space="preserve">Resilience &amp; </w:t>
      </w:r>
      <w:r w:rsidR="00B864AD">
        <w:rPr>
          <w:color w:val="222222"/>
          <w:shd w:val="clear" w:color="auto" w:fill="FFFFFF"/>
        </w:rPr>
        <w:t>s</w:t>
      </w:r>
      <w:r w:rsidRPr="00257F7A">
        <w:rPr>
          <w:color w:val="222222"/>
          <w:shd w:val="clear" w:color="auto" w:fill="FFFFFF"/>
        </w:rPr>
        <w:t xml:space="preserve">uccess </w:t>
      </w:r>
      <w:r w:rsidR="00B864AD">
        <w:rPr>
          <w:color w:val="222222"/>
          <w:shd w:val="clear" w:color="auto" w:fill="FFFFFF"/>
        </w:rPr>
        <w:t>u</w:t>
      </w:r>
      <w:r w:rsidRPr="00257F7A">
        <w:rPr>
          <w:color w:val="222222"/>
          <w:shd w:val="clear" w:color="auto" w:fill="FFFFFF"/>
        </w:rPr>
        <w:t xml:space="preserve">nder </w:t>
      </w:r>
      <w:r w:rsidR="00B864AD">
        <w:rPr>
          <w:color w:val="222222"/>
          <w:shd w:val="clear" w:color="auto" w:fill="FFFFFF"/>
        </w:rPr>
        <w:t>d</w:t>
      </w:r>
      <w:r w:rsidRPr="00257F7A">
        <w:rPr>
          <w:color w:val="222222"/>
          <w:shd w:val="clear" w:color="auto" w:fill="FFFFFF"/>
        </w:rPr>
        <w:t>uress. </w:t>
      </w:r>
      <w:r w:rsidR="002E5482">
        <w:rPr>
          <w:i/>
          <w:iCs/>
          <w:color w:val="222222"/>
          <w:shd w:val="clear" w:color="auto" w:fill="FFFFFF"/>
        </w:rPr>
        <w:t>Africology; The J</w:t>
      </w:r>
      <w:r w:rsidRPr="00257F7A">
        <w:rPr>
          <w:i/>
          <w:iCs/>
          <w:color w:val="222222"/>
          <w:shd w:val="clear" w:color="auto" w:fill="FFFFFF"/>
        </w:rPr>
        <w:t>ournal of Pan African Studies</w:t>
      </w:r>
      <w:r w:rsidRPr="00257F7A">
        <w:rPr>
          <w:color w:val="222222"/>
          <w:shd w:val="clear" w:color="auto" w:fill="FFFFFF"/>
        </w:rPr>
        <w:t>, </w:t>
      </w:r>
      <w:r w:rsidRPr="00257F7A">
        <w:rPr>
          <w:i/>
          <w:iCs/>
          <w:color w:val="222222"/>
          <w:shd w:val="clear" w:color="auto" w:fill="FFFFFF"/>
        </w:rPr>
        <w:t>12</w:t>
      </w:r>
      <w:r w:rsidRPr="00257F7A">
        <w:rPr>
          <w:color w:val="222222"/>
          <w:shd w:val="clear" w:color="auto" w:fill="FFFFFF"/>
        </w:rPr>
        <w:t>(7)</w:t>
      </w:r>
      <w:r w:rsidR="00B91475">
        <w:rPr>
          <w:color w:val="222222"/>
          <w:shd w:val="clear" w:color="auto" w:fill="FFFFFF"/>
        </w:rPr>
        <w:t>, 192-215</w:t>
      </w:r>
      <w:r w:rsidRPr="00257F7A">
        <w:rPr>
          <w:color w:val="222222"/>
          <w:shd w:val="clear" w:color="auto" w:fill="FFFFFF"/>
        </w:rPr>
        <w:t>.</w:t>
      </w:r>
    </w:p>
    <w:p w14:paraId="79FA0C4A" w14:textId="77777777" w:rsidR="00D42FC0" w:rsidRPr="00FC367F" w:rsidRDefault="00D42FC0" w:rsidP="006D50C3">
      <w:pPr>
        <w:pStyle w:val="NormalWeb"/>
        <w:tabs>
          <w:tab w:val="left" w:pos="360"/>
        </w:tabs>
        <w:spacing w:before="0" w:beforeAutospacing="0" w:after="0" w:afterAutospacing="0"/>
        <w:ind w:left="360" w:hanging="360"/>
        <w:rPr>
          <w:color w:val="222222"/>
          <w:shd w:val="clear" w:color="auto" w:fill="FFFFFF"/>
        </w:rPr>
      </w:pPr>
    </w:p>
    <w:p w14:paraId="2A122C9A" w14:textId="77777777" w:rsidR="0056440E" w:rsidRPr="0056440E" w:rsidRDefault="006E6F08" w:rsidP="0056440E">
      <w:pPr>
        <w:pStyle w:val="NormalWeb"/>
        <w:tabs>
          <w:tab w:val="left" w:pos="360"/>
        </w:tabs>
        <w:spacing w:beforeAutospacing="0" w:afterAutospacing="0"/>
        <w:ind w:left="360" w:hanging="360"/>
        <w:rPr>
          <w:color w:val="000000"/>
        </w:rPr>
      </w:pPr>
      <w:r w:rsidRPr="00257F7A">
        <w:rPr>
          <w:color w:val="000000"/>
        </w:rPr>
        <w:t xml:space="preserve">Morrison, G. M., &amp; Allen, M. R. (2007). Promoting </w:t>
      </w:r>
      <w:r w:rsidR="00B864AD">
        <w:rPr>
          <w:color w:val="000000"/>
        </w:rPr>
        <w:t>s</w:t>
      </w:r>
      <w:r w:rsidRPr="00257F7A">
        <w:rPr>
          <w:color w:val="000000"/>
        </w:rPr>
        <w:t xml:space="preserve">tudent </w:t>
      </w:r>
      <w:r w:rsidR="00B864AD">
        <w:rPr>
          <w:color w:val="000000"/>
        </w:rPr>
        <w:t>r</w:t>
      </w:r>
      <w:r w:rsidRPr="00257F7A">
        <w:rPr>
          <w:color w:val="000000"/>
        </w:rPr>
        <w:t xml:space="preserve">esilience in </w:t>
      </w:r>
      <w:r w:rsidR="00B864AD">
        <w:rPr>
          <w:color w:val="000000"/>
        </w:rPr>
        <w:t>s</w:t>
      </w:r>
      <w:r w:rsidRPr="00257F7A">
        <w:rPr>
          <w:color w:val="000000"/>
        </w:rPr>
        <w:t xml:space="preserve">chool </w:t>
      </w:r>
      <w:r w:rsidR="00B864AD">
        <w:rPr>
          <w:color w:val="000000"/>
        </w:rPr>
        <w:t>c</w:t>
      </w:r>
      <w:r w:rsidRPr="00257F7A">
        <w:rPr>
          <w:color w:val="000000"/>
        </w:rPr>
        <w:t xml:space="preserve">ontexts. </w:t>
      </w:r>
      <w:r w:rsidR="00F63BBD" w:rsidRPr="00257F7A">
        <w:rPr>
          <w:color w:val="000000"/>
        </w:rPr>
        <w:tab/>
      </w:r>
      <w:r w:rsidRPr="00257F7A">
        <w:rPr>
          <w:i/>
          <w:iCs/>
          <w:color w:val="000000"/>
        </w:rPr>
        <w:t>Theory</w:t>
      </w:r>
      <w:r w:rsidR="00A90E64">
        <w:rPr>
          <w:i/>
          <w:iCs/>
          <w:color w:val="000000"/>
        </w:rPr>
        <w:t xml:space="preserve"> </w:t>
      </w:r>
      <w:r w:rsidRPr="00257F7A">
        <w:rPr>
          <w:i/>
          <w:iCs/>
          <w:color w:val="000000"/>
        </w:rPr>
        <w:t>Into Practice</w:t>
      </w:r>
      <w:r w:rsidRPr="00257F7A">
        <w:rPr>
          <w:color w:val="000000"/>
        </w:rPr>
        <w:t xml:space="preserve">, </w:t>
      </w:r>
      <w:r w:rsidRPr="00257F7A">
        <w:rPr>
          <w:i/>
          <w:iCs/>
          <w:color w:val="000000"/>
        </w:rPr>
        <w:t>46</w:t>
      </w:r>
      <w:r w:rsidRPr="00257F7A">
        <w:rPr>
          <w:color w:val="000000"/>
        </w:rPr>
        <w:t>(2), 162–169.</w:t>
      </w:r>
      <w:r w:rsidR="0056440E">
        <w:rPr>
          <w:color w:val="000000"/>
        </w:rPr>
        <w:t xml:space="preserve"> </w:t>
      </w:r>
      <w:hyperlink r:id="rId57" w:history="1">
        <w:r w:rsidR="0056440E" w:rsidRPr="0056440E">
          <w:rPr>
            <w:rStyle w:val="Hyperlink"/>
          </w:rPr>
          <w:t>https://doi.org/10.1080/00405840701233172</w:t>
        </w:r>
      </w:hyperlink>
    </w:p>
    <w:p w14:paraId="4BAD80AC" w14:textId="1645C7D8" w:rsidR="0070030D" w:rsidRDefault="0070030D" w:rsidP="006D50C3">
      <w:pPr>
        <w:pStyle w:val="NormalWeb"/>
        <w:tabs>
          <w:tab w:val="left" w:pos="360"/>
        </w:tabs>
        <w:spacing w:before="0" w:beforeAutospacing="0" w:after="0" w:afterAutospacing="0"/>
        <w:ind w:left="360" w:hanging="360"/>
        <w:rPr>
          <w:color w:val="000000"/>
        </w:rPr>
      </w:pPr>
    </w:p>
    <w:p w14:paraId="31D1582E" w14:textId="4CF55342" w:rsidR="001D6E7D" w:rsidRPr="001D6E7D" w:rsidRDefault="001D6E7D" w:rsidP="006D50C3">
      <w:pPr>
        <w:pStyle w:val="NormalWeb"/>
        <w:tabs>
          <w:tab w:val="left" w:pos="360"/>
        </w:tabs>
        <w:spacing w:before="0" w:beforeAutospacing="0" w:after="0" w:afterAutospacing="0"/>
        <w:ind w:left="360" w:hanging="360"/>
        <w:rPr>
          <w:color w:val="212121"/>
          <w:shd w:val="clear" w:color="auto" w:fill="FFFFFF"/>
        </w:rPr>
      </w:pPr>
      <w:proofErr w:type="spellStart"/>
      <w:r w:rsidRPr="001D6E7D">
        <w:rPr>
          <w:color w:val="212121"/>
          <w:highlight w:val="yellow"/>
          <w:shd w:val="clear" w:color="auto" w:fill="FFFFFF"/>
        </w:rPr>
        <w:t>Nekić</w:t>
      </w:r>
      <w:proofErr w:type="spellEnd"/>
      <w:r w:rsidRPr="001D6E7D">
        <w:rPr>
          <w:color w:val="212121"/>
          <w:highlight w:val="yellow"/>
          <w:shd w:val="clear" w:color="auto" w:fill="FFFFFF"/>
        </w:rPr>
        <w:t xml:space="preserve">, M., &amp; </w:t>
      </w:r>
      <w:proofErr w:type="spellStart"/>
      <w:r w:rsidRPr="001D6E7D">
        <w:rPr>
          <w:color w:val="212121"/>
          <w:highlight w:val="yellow"/>
          <w:shd w:val="clear" w:color="auto" w:fill="FFFFFF"/>
        </w:rPr>
        <w:t>Mamić</w:t>
      </w:r>
      <w:proofErr w:type="spellEnd"/>
      <w:r w:rsidRPr="001D6E7D">
        <w:rPr>
          <w:color w:val="212121"/>
          <w:highlight w:val="yellow"/>
          <w:shd w:val="clear" w:color="auto" w:fill="FFFFFF"/>
        </w:rPr>
        <w:t>, S. (2019). Intolerance of uncertainty and mindfulness as determinants of anxiety and depression in female students. </w:t>
      </w:r>
      <w:r w:rsidRPr="001D6E7D">
        <w:rPr>
          <w:i/>
          <w:iCs/>
          <w:color w:val="212121"/>
          <w:highlight w:val="yellow"/>
          <w:shd w:val="clear" w:color="auto" w:fill="FFFFFF"/>
        </w:rPr>
        <w:t>Behavioral Sciences</w:t>
      </w:r>
      <w:r w:rsidRPr="001D6E7D">
        <w:rPr>
          <w:color w:val="212121"/>
          <w:highlight w:val="yellow"/>
          <w:shd w:val="clear" w:color="auto" w:fill="FFFFFF"/>
        </w:rPr>
        <w:t>, </w:t>
      </w:r>
      <w:r w:rsidRPr="001D6E7D">
        <w:rPr>
          <w:i/>
          <w:iCs/>
          <w:color w:val="212121"/>
          <w:highlight w:val="yellow"/>
          <w:shd w:val="clear" w:color="auto" w:fill="FFFFFF"/>
        </w:rPr>
        <w:t>9</w:t>
      </w:r>
      <w:r w:rsidRPr="001D6E7D">
        <w:rPr>
          <w:color w:val="212121"/>
          <w:highlight w:val="yellow"/>
          <w:shd w:val="clear" w:color="auto" w:fill="FFFFFF"/>
        </w:rPr>
        <w:t xml:space="preserve">(12), 135. </w:t>
      </w:r>
      <w:hyperlink r:id="rId58" w:history="1">
        <w:r w:rsidRPr="001D6E7D">
          <w:rPr>
            <w:rStyle w:val="Hyperlink"/>
            <w:highlight w:val="yellow"/>
            <w:shd w:val="clear" w:color="auto" w:fill="FFFFFF"/>
          </w:rPr>
          <w:t>https://</w:t>
        </w:r>
        <w:r w:rsidRPr="001D6E7D">
          <w:rPr>
            <w:rStyle w:val="Hyperlink"/>
            <w:rFonts w:eastAsia="Batang"/>
            <w:highlight w:val="yellow"/>
          </w:rPr>
          <w:t>doi:10.3390/bs9120135</w:t>
        </w:r>
      </w:hyperlink>
      <w:r>
        <w:rPr>
          <w:rFonts w:eastAsia="Batang"/>
        </w:rPr>
        <w:t xml:space="preserve">   </w:t>
      </w:r>
      <w:r w:rsidRPr="001D6E7D">
        <w:rPr>
          <w:rFonts w:eastAsia="Batang"/>
        </w:rPr>
        <w:t xml:space="preserve"> </w:t>
      </w:r>
    </w:p>
    <w:p w14:paraId="4A85AB26" w14:textId="77777777" w:rsidR="00C6631D" w:rsidRDefault="00C6631D" w:rsidP="006D50C3">
      <w:pPr>
        <w:pStyle w:val="NormalWeb"/>
        <w:tabs>
          <w:tab w:val="left" w:pos="360"/>
        </w:tabs>
        <w:spacing w:before="0" w:beforeAutospacing="0" w:after="0" w:afterAutospacing="0"/>
        <w:ind w:left="360" w:hanging="360"/>
        <w:rPr>
          <w:color w:val="212121"/>
          <w:shd w:val="clear" w:color="auto" w:fill="FFFFFF"/>
        </w:rPr>
      </w:pPr>
    </w:p>
    <w:p w14:paraId="58944804" w14:textId="77777777" w:rsidR="00B16416" w:rsidRPr="00B16416" w:rsidRDefault="0070030D" w:rsidP="00B16416">
      <w:pPr>
        <w:pStyle w:val="NormalWeb"/>
        <w:tabs>
          <w:tab w:val="left" w:pos="360"/>
        </w:tabs>
        <w:spacing w:beforeAutospacing="0" w:afterAutospacing="0"/>
        <w:ind w:left="360" w:hanging="360"/>
        <w:rPr>
          <w:color w:val="212121"/>
          <w:shd w:val="clear" w:color="auto" w:fill="FFFFFF"/>
        </w:rPr>
      </w:pPr>
      <w:r w:rsidRPr="0070030D">
        <w:rPr>
          <w:color w:val="212121"/>
          <w:shd w:val="clear" w:color="auto" w:fill="FFFFFF"/>
        </w:rPr>
        <w:t>Ng, H. T. H., Zhang, C. Q., Phipps, D., Zhang, R., &amp; Hamilton, K. (2022). Effects of anxiety and sleep on academic engagement among university students. </w:t>
      </w:r>
      <w:r w:rsidRPr="0070030D">
        <w:rPr>
          <w:i/>
          <w:iCs/>
          <w:color w:val="212121"/>
          <w:shd w:val="clear" w:color="auto" w:fill="FFFFFF"/>
        </w:rPr>
        <w:t>Australian Psychologist</w:t>
      </w:r>
      <w:r w:rsidRPr="0070030D">
        <w:rPr>
          <w:color w:val="212121"/>
          <w:shd w:val="clear" w:color="auto" w:fill="FFFFFF"/>
        </w:rPr>
        <w:t>, </w:t>
      </w:r>
      <w:r w:rsidRPr="0070030D">
        <w:rPr>
          <w:i/>
          <w:iCs/>
          <w:color w:val="212121"/>
          <w:shd w:val="clear" w:color="auto" w:fill="FFFFFF"/>
        </w:rPr>
        <w:t>57</w:t>
      </w:r>
      <w:r w:rsidRPr="0070030D">
        <w:rPr>
          <w:color w:val="212121"/>
          <w:shd w:val="clear" w:color="auto" w:fill="FFFFFF"/>
        </w:rPr>
        <w:t>(1),</w:t>
      </w:r>
      <w:r w:rsidR="00A90E64">
        <w:rPr>
          <w:color w:val="212121"/>
          <w:shd w:val="clear" w:color="auto" w:fill="FFFFFF"/>
        </w:rPr>
        <w:t xml:space="preserve"> </w:t>
      </w:r>
      <w:r w:rsidRPr="0070030D">
        <w:rPr>
          <w:color w:val="212121"/>
          <w:shd w:val="clear" w:color="auto" w:fill="FFFFFF"/>
        </w:rPr>
        <w:t>57-64.</w:t>
      </w:r>
      <w:r w:rsidR="00B16416">
        <w:rPr>
          <w:color w:val="212121"/>
          <w:shd w:val="clear" w:color="auto" w:fill="FFFFFF"/>
        </w:rPr>
        <w:t xml:space="preserve"> </w:t>
      </w:r>
      <w:hyperlink r:id="rId59" w:history="1">
        <w:r w:rsidR="00B16416" w:rsidRPr="00B16416">
          <w:rPr>
            <w:rStyle w:val="Hyperlink"/>
            <w:shd w:val="clear" w:color="auto" w:fill="FFFFFF"/>
          </w:rPr>
          <w:t>https://doi.org/10.1080/00050067.2021.1965854</w:t>
        </w:r>
      </w:hyperlink>
    </w:p>
    <w:p w14:paraId="5CA7B319" w14:textId="77777777" w:rsidR="00D42FC0" w:rsidRPr="0070030D" w:rsidRDefault="00D42FC0" w:rsidP="006D50C3">
      <w:pPr>
        <w:pStyle w:val="NormalWeb"/>
        <w:tabs>
          <w:tab w:val="left" w:pos="360"/>
        </w:tabs>
        <w:spacing w:before="0" w:beforeAutospacing="0" w:after="0" w:afterAutospacing="0"/>
        <w:ind w:left="360" w:hanging="360"/>
        <w:rPr>
          <w:color w:val="000000"/>
        </w:rPr>
      </w:pPr>
    </w:p>
    <w:p w14:paraId="6A83F3FF" w14:textId="0B104C99" w:rsidR="00550F40" w:rsidRDefault="00550F40" w:rsidP="006D50C3">
      <w:pPr>
        <w:pStyle w:val="NormalWeb"/>
        <w:tabs>
          <w:tab w:val="left" w:pos="360"/>
        </w:tabs>
        <w:spacing w:before="0" w:beforeAutospacing="0" w:after="0" w:afterAutospacing="0"/>
        <w:ind w:left="360" w:hanging="360"/>
        <w:rPr>
          <w:color w:val="212121"/>
          <w:shd w:val="clear" w:color="auto" w:fill="FFFFFF"/>
        </w:rPr>
      </w:pPr>
      <w:r w:rsidRPr="00257F7A">
        <w:rPr>
          <w:color w:val="212121"/>
          <w:shd w:val="clear" w:color="auto" w:fill="FFFFFF"/>
        </w:rPr>
        <w:t>Oswalt, S. B., Lederer, A. M., &amp; Chestnut-</w:t>
      </w:r>
      <w:proofErr w:type="spellStart"/>
      <w:r w:rsidRPr="00257F7A">
        <w:rPr>
          <w:color w:val="212121"/>
          <w:shd w:val="clear" w:color="auto" w:fill="FFFFFF"/>
        </w:rPr>
        <w:t>Steich</w:t>
      </w:r>
      <w:proofErr w:type="spellEnd"/>
      <w:r w:rsidRPr="00257F7A">
        <w:rPr>
          <w:color w:val="212121"/>
          <w:shd w:val="clear" w:color="auto" w:fill="FFFFFF"/>
        </w:rPr>
        <w:t>, K. (2019). Who is willing to come back?</w:t>
      </w:r>
      <w:r w:rsidR="00A90E64">
        <w:rPr>
          <w:color w:val="212121"/>
          <w:shd w:val="clear" w:color="auto" w:fill="FFFFFF"/>
        </w:rPr>
        <w:t xml:space="preserve"> </w:t>
      </w:r>
      <w:r w:rsidRPr="00257F7A">
        <w:rPr>
          <w:color w:val="212121"/>
          <w:shd w:val="clear" w:color="auto" w:fill="FFFFFF"/>
        </w:rPr>
        <w:t>College students' willingness to seek help after using campus mental health</w:t>
      </w:r>
      <w:r w:rsidR="00A90E64">
        <w:rPr>
          <w:color w:val="212121"/>
          <w:shd w:val="clear" w:color="auto" w:fill="FFFFFF"/>
        </w:rPr>
        <w:t xml:space="preserve"> </w:t>
      </w:r>
      <w:r w:rsidRPr="00257F7A">
        <w:rPr>
          <w:color w:val="212121"/>
          <w:shd w:val="clear" w:color="auto" w:fill="FFFFFF"/>
        </w:rPr>
        <w:t>services. </w:t>
      </w:r>
      <w:r w:rsidRPr="00257F7A">
        <w:rPr>
          <w:i/>
          <w:iCs/>
          <w:color w:val="212121"/>
          <w:shd w:val="clear" w:color="auto" w:fill="FFFFFF"/>
        </w:rPr>
        <w:t xml:space="preserve">Journal of American </w:t>
      </w:r>
      <w:r w:rsidR="00B864AD">
        <w:rPr>
          <w:i/>
          <w:iCs/>
          <w:color w:val="212121"/>
          <w:shd w:val="clear" w:color="auto" w:fill="FFFFFF"/>
        </w:rPr>
        <w:t>C</w:t>
      </w:r>
      <w:r w:rsidRPr="00257F7A">
        <w:rPr>
          <w:i/>
          <w:iCs/>
          <w:color w:val="212121"/>
          <w:shd w:val="clear" w:color="auto" w:fill="FFFFFF"/>
        </w:rPr>
        <w:t xml:space="preserve">ollege </w:t>
      </w:r>
      <w:r w:rsidR="00B864AD">
        <w:rPr>
          <w:i/>
          <w:iCs/>
          <w:color w:val="212121"/>
          <w:shd w:val="clear" w:color="auto" w:fill="FFFFFF"/>
        </w:rPr>
        <w:t>H</w:t>
      </w:r>
      <w:r w:rsidRPr="00257F7A">
        <w:rPr>
          <w:i/>
          <w:iCs/>
          <w:color w:val="212121"/>
          <w:shd w:val="clear" w:color="auto" w:fill="FFFFFF"/>
        </w:rPr>
        <w:t>ealth</w:t>
      </w:r>
      <w:r w:rsidR="003B6CF9" w:rsidRPr="00257F7A">
        <w:rPr>
          <w:i/>
          <w:iCs/>
          <w:color w:val="212121"/>
          <w:shd w:val="clear" w:color="auto" w:fill="FFFFFF"/>
        </w:rPr>
        <w:t>,</w:t>
      </w:r>
      <w:r w:rsidRPr="00257F7A">
        <w:rPr>
          <w:color w:val="212121"/>
          <w:shd w:val="clear" w:color="auto" w:fill="FFFFFF"/>
        </w:rPr>
        <w:t> </w:t>
      </w:r>
      <w:r w:rsidRPr="00257F7A">
        <w:rPr>
          <w:i/>
          <w:iCs/>
          <w:color w:val="212121"/>
          <w:shd w:val="clear" w:color="auto" w:fill="FFFFFF"/>
        </w:rPr>
        <w:t>67</w:t>
      </w:r>
      <w:r w:rsidRPr="00257F7A">
        <w:rPr>
          <w:color w:val="212121"/>
          <w:shd w:val="clear" w:color="auto" w:fill="FFFFFF"/>
        </w:rPr>
        <w:t>(1), 10–16.</w:t>
      </w:r>
      <w:r w:rsidR="00A90E64">
        <w:rPr>
          <w:color w:val="212121"/>
          <w:shd w:val="clear" w:color="auto" w:fill="FFFFFF"/>
        </w:rPr>
        <w:t xml:space="preserve"> </w:t>
      </w:r>
      <w:hyperlink r:id="rId60" w:history="1">
        <w:r w:rsidR="00A90E64" w:rsidRPr="00BF01B9">
          <w:rPr>
            <w:rStyle w:val="Hyperlink"/>
            <w:shd w:val="clear" w:color="auto" w:fill="FFFFFF"/>
          </w:rPr>
          <w:t>https://doi.org/10.1080/07448481.2018.1462818</w:t>
        </w:r>
      </w:hyperlink>
    </w:p>
    <w:p w14:paraId="67BE07C0" w14:textId="77777777" w:rsidR="00D42FC0" w:rsidRPr="00257F7A" w:rsidRDefault="00D42FC0" w:rsidP="006D50C3">
      <w:pPr>
        <w:pStyle w:val="NormalWeb"/>
        <w:tabs>
          <w:tab w:val="left" w:pos="360"/>
        </w:tabs>
        <w:spacing w:before="0" w:beforeAutospacing="0" w:after="0" w:afterAutospacing="0"/>
        <w:ind w:left="360" w:hanging="360"/>
      </w:pPr>
    </w:p>
    <w:p w14:paraId="22824BA5" w14:textId="3DFD5225"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Ray, J. &amp; </w:t>
      </w:r>
      <w:proofErr w:type="spellStart"/>
      <w:r w:rsidRPr="00257F7A">
        <w:rPr>
          <w:color w:val="000000"/>
        </w:rPr>
        <w:t>Marken</w:t>
      </w:r>
      <w:proofErr w:type="spellEnd"/>
      <w:r w:rsidRPr="00257F7A">
        <w:rPr>
          <w:color w:val="000000"/>
        </w:rPr>
        <w:t xml:space="preserve">, S. (2014). </w:t>
      </w:r>
      <w:r w:rsidRPr="00257F7A">
        <w:rPr>
          <w:i/>
          <w:iCs/>
          <w:color w:val="000000"/>
        </w:rPr>
        <w:t>Life in college matters for life after college</w:t>
      </w:r>
      <w:r w:rsidRPr="00257F7A">
        <w:rPr>
          <w:color w:val="000000"/>
        </w:rPr>
        <w:t xml:space="preserve">. Gallup. </w:t>
      </w:r>
      <w:hyperlink r:id="rId61" w:history="1">
        <w:r w:rsidR="00A90E64" w:rsidRPr="00BF01B9">
          <w:rPr>
            <w:rStyle w:val="Hyperlink"/>
          </w:rPr>
          <w:t>https://news.gallup.com/poll/168848/life-college-matters-life-college.aspx</w:t>
        </w:r>
      </w:hyperlink>
      <w:r w:rsidRPr="00D42FC0">
        <w:rPr>
          <w:color w:val="000000"/>
        </w:rPr>
        <w:t>.</w:t>
      </w:r>
    </w:p>
    <w:p w14:paraId="41F6777B" w14:textId="77777777" w:rsidR="00D42FC0" w:rsidRPr="00D42FC0" w:rsidRDefault="00D42FC0" w:rsidP="006D50C3">
      <w:pPr>
        <w:pStyle w:val="NormalWeb"/>
        <w:tabs>
          <w:tab w:val="left" w:pos="360"/>
        </w:tabs>
        <w:spacing w:before="0" w:beforeAutospacing="0" w:after="0" w:afterAutospacing="0"/>
        <w:ind w:left="360" w:hanging="360"/>
        <w:rPr>
          <w:color w:val="000000"/>
        </w:rPr>
      </w:pPr>
    </w:p>
    <w:p w14:paraId="208CD3F7" w14:textId="5AD6CB2F" w:rsidR="001D6E7D" w:rsidRDefault="001D6E7D" w:rsidP="006D50C3">
      <w:pPr>
        <w:tabs>
          <w:tab w:val="left" w:pos="360"/>
          <w:tab w:val="left" w:pos="720"/>
        </w:tabs>
        <w:ind w:left="360" w:hanging="360"/>
        <w:rPr>
          <w:color w:val="222222"/>
          <w:shd w:val="clear" w:color="auto" w:fill="FFFFFF"/>
        </w:rPr>
      </w:pPr>
      <w:r w:rsidRPr="001D6E7D">
        <w:rPr>
          <w:color w:val="222222"/>
          <w:highlight w:val="yellow"/>
          <w:shd w:val="clear" w:color="auto" w:fill="FFFFFF"/>
        </w:rPr>
        <w:t>Ramón-</w:t>
      </w:r>
      <w:proofErr w:type="spellStart"/>
      <w:r w:rsidRPr="001D6E7D">
        <w:rPr>
          <w:color w:val="222222"/>
          <w:highlight w:val="yellow"/>
          <w:shd w:val="clear" w:color="auto" w:fill="FFFFFF"/>
        </w:rPr>
        <w:t>Arbués</w:t>
      </w:r>
      <w:proofErr w:type="spellEnd"/>
      <w:r w:rsidRPr="001D6E7D">
        <w:rPr>
          <w:color w:val="222222"/>
          <w:highlight w:val="yellow"/>
          <w:shd w:val="clear" w:color="auto" w:fill="FFFFFF"/>
        </w:rPr>
        <w:t xml:space="preserve">, E., Gea-Caballero, V., Granada-López, J. M., Juárez-Vela, R., </w:t>
      </w:r>
      <w:proofErr w:type="spellStart"/>
      <w:r w:rsidRPr="001D6E7D">
        <w:rPr>
          <w:color w:val="222222"/>
          <w:highlight w:val="yellow"/>
          <w:shd w:val="clear" w:color="auto" w:fill="FFFFFF"/>
        </w:rPr>
        <w:t>Pellicer</w:t>
      </w:r>
      <w:proofErr w:type="spellEnd"/>
      <w:r w:rsidRPr="001D6E7D">
        <w:rPr>
          <w:color w:val="222222"/>
          <w:highlight w:val="yellow"/>
          <w:shd w:val="clear" w:color="auto" w:fill="FFFFFF"/>
        </w:rPr>
        <w:t>-García, B., &amp; Antón-</w:t>
      </w:r>
      <w:proofErr w:type="spellStart"/>
      <w:r w:rsidRPr="001D6E7D">
        <w:rPr>
          <w:color w:val="222222"/>
          <w:highlight w:val="yellow"/>
          <w:shd w:val="clear" w:color="auto" w:fill="FFFFFF"/>
        </w:rPr>
        <w:t>Solanas</w:t>
      </w:r>
      <w:proofErr w:type="spellEnd"/>
      <w:r w:rsidRPr="001D6E7D">
        <w:rPr>
          <w:color w:val="222222"/>
          <w:highlight w:val="yellow"/>
          <w:shd w:val="clear" w:color="auto" w:fill="FFFFFF"/>
        </w:rPr>
        <w:t>, I. (2020). The prevalence of depression, anxiety and stress and their associated factors in college students. </w:t>
      </w:r>
      <w:r w:rsidRPr="001D6E7D">
        <w:rPr>
          <w:i/>
          <w:iCs/>
          <w:color w:val="222222"/>
          <w:highlight w:val="yellow"/>
          <w:shd w:val="clear" w:color="auto" w:fill="FFFFFF"/>
        </w:rPr>
        <w:t>International Journal of Environmental Research and Public Health</w:t>
      </w:r>
      <w:r w:rsidRPr="001D6E7D">
        <w:rPr>
          <w:color w:val="222222"/>
          <w:highlight w:val="yellow"/>
          <w:shd w:val="clear" w:color="auto" w:fill="FFFFFF"/>
        </w:rPr>
        <w:t>, </w:t>
      </w:r>
      <w:r w:rsidRPr="001D6E7D">
        <w:rPr>
          <w:i/>
          <w:iCs/>
          <w:color w:val="222222"/>
          <w:highlight w:val="yellow"/>
          <w:shd w:val="clear" w:color="auto" w:fill="FFFFFF"/>
        </w:rPr>
        <w:t>17</w:t>
      </w:r>
      <w:r w:rsidRPr="001D6E7D">
        <w:rPr>
          <w:color w:val="222222"/>
          <w:highlight w:val="yellow"/>
          <w:shd w:val="clear" w:color="auto" w:fill="FFFFFF"/>
        </w:rPr>
        <w:t xml:space="preserve">(19), 7001. </w:t>
      </w:r>
      <w:hyperlink r:id="rId62" w:history="1">
        <w:r w:rsidRPr="001D6E7D">
          <w:rPr>
            <w:rStyle w:val="Hyperlink"/>
            <w:highlight w:val="yellow"/>
            <w:shd w:val="clear" w:color="auto" w:fill="FFFFFF"/>
          </w:rPr>
          <w:t>https://doi.org/10.3390/ijerph17197001</w:t>
        </w:r>
      </w:hyperlink>
    </w:p>
    <w:p w14:paraId="50C0C7C3" w14:textId="77777777" w:rsidR="001D6E7D" w:rsidRDefault="001D6E7D" w:rsidP="006D50C3">
      <w:pPr>
        <w:tabs>
          <w:tab w:val="left" w:pos="360"/>
          <w:tab w:val="left" w:pos="720"/>
        </w:tabs>
        <w:ind w:left="360" w:hanging="360"/>
        <w:rPr>
          <w:color w:val="222222"/>
          <w:shd w:val="clear" w:color="auto" w:fill="FFFFFF"/>
        </w:rPr>
      </w:pPr>
    </w:p>
    <w:p w14:paraId="226F829D" w14:textId="57E5F3F1" w:rsidR="00B16416" w:rsidRPr="00B16416" w:rsidRDefault="003C40CF" w:rsidP="00B16416">
      <w:pPr>
        <w:tabs>
          <w:tab w:val="left" w:pos="360"/>
          <w:tab w:val="left" w:pos="720"/>
        </w:tabs>
        <w:ind w:left="360" w:hanging="360"/>
        <w:rPr>
          <w:color w:val="222222"/>
          <w:shd w:val="clear" w:color="auto" w:fill="FFFFFF"/>
        </w:rPr>
      </w:pPr>
      <w:proofErr w:type="spellStart"/>
      <w:r w:rsidRPr="00FC367F">
        <w:rPr>
          <w:color w:val="222222"/>
          <w:shd w:val="clear" w:color="auto" w:fill="FFFFFF"/>
        </w:rPr>
        <w:t>Raposa</w:t>
      </w:r>
      <w:proofErr w:type="spellEnd"/>
      <w:r w:rsidRPr="00FC367F">
        <w:rPr>
          <w:color w:val="222222"/>
          <w:shd w:val="clear" w:color="auto" w:fill="FFFFFF"/>
        </w:rPr>
        <w:t>, E. B., Hagler, M., Liu, D., &amp; Rhodes, J. E. (2021). Predictors of close faculty− student</w:t>
      </w:r>
      <w:r w:rsidR="00A90E64">
        <w:rPr>
          <w:color w:val="222222"/>
          <w:shd w:val="clear" w:color="auto" w:fill="FFFFFF"/>
        </w:rPr>
        <w:t xml:space="preserve"> </w:t>
      </w:r>
      <w:r w:rsidRPr="00FC367F">
        <w:rPr>
          <w:color w:val="222222"/>
          <w:shd w:val="clear" w:color="auto" w:fill="FFFFFF"/>
        </w:rPr>
        <w:t>relationships and mentorship in higher education: findings from the Gallup−Purdue</w:t>
      </w:r>
      <w:r w:rsidR="00B16416">
        <w:rPr>
          <w:color w:val="222222"/>
          <w:shd w:val="clear" w:color="auto" w:fill="FFFFFF"/>
        </w:rPr>
        <w:t xml:space="preserve"> </w:t>
      </w:r>
      <w:r w:rsidRPr="00FC367F">
        <w:rPr>
          <w:color w:val="222222"/>
          <w:shd w:val="clear" w:color="auto" w:fill="FFFFFF"/>
        </w:rPr>
        <w:t>Index. </w:t>
      </w:r>
      <w:r w:rsidRPr="00FC367F">
        <w:rPr>
          <w:i/>
          <w:iCs/>
          <w:color w:val="222222"/>
          <w:shd w:val="clear" w:color="auto" w:fill="FFFFFF"/>
        </w:rPr>
        <w:t>Annals of the New York Academy of Sciences</w:t>
      </w:r>
      <w:r w:rsidRPr="00FC367F">
        <w:rPr>
          <w:color w:val="222222"/>
          <w:shd w:val="clear" w:color="auto" w:fill="FFFFFF"/>
        </w:rPr>
        <w:t>, </w:t>
      </w:r>
      <w:r w:rsidRPr="00FC367F">
        <w:rPr>
          <w:i/>
          <w:iCs/>
          <w:color w:val="222222"/>
          <w:shd w:val="clear" w:color="auto" w:fill="FFFFFF"/>
        </w:rPr>
        <w:t>1483</w:t>
      </w:r>
      <w:r w:rsidRPr="00FC367F">
        <w:rPr>
          <w:color w:val="222222"/>
          <w:shd w:val="clear" w:color="auto" w:fill="FFFFFF"/>
        </w:rPr>
        <w:t>(1), 36-49.</w:t>
      </w:r>
      <w:r w:rsidR="00B16416">
        <w:rPr>
          <w:color w:val="222222"/>
          <w:shd w:val="clear" w:color="auto" w:fill="FFFFFF"/>
        </w:rPr>
        <w:t xml:space="preserve"> </w:t>
      </w:r>
      <w:hyperlink r:id="rId63" w:history="1">
        <w:r w:rsidR="00BF5B69" w:rsidRPr="00B16416">
          <w:rPr>
            <w:rStyle w:val="Hyperlink"/>
            <w:shd w:val="clear" w:color="auto" w:fill="FFFFFF"/>
          </w:rPr>
          <w:t>https://doi.org/10.1111/nyas.14342</w:t>
        </w:r>
      </w:hyperlink>
    </w:p>
    <w:p w14:paraId="375255D4" w14:textId="2AF27A22" w:rsidR="003C40CF" w:rsidRPr="003C40CF" w:rsidRDefault="003C40CF" w:rsidP="006D50C3">
      <w:pPr>
        <w:tabs>
          <w:tab w:val="left" w:pos="360"/>
          <w:tab w:val="left" w:pos="720"/>
        </w:tabs>
        <w:ind w:left="360" w:hanging="360"/>
      </w:pPr>
    </w:p>
    <w:p w14:paraId="25BA20BB" w14:textId="1F807FF6" w:rsidR="00BF5B69" w:rsidRPr="00BF5B69" w:rsidRDefault="00D42FC0" w:rsidP="00BF5B69">
      <w:pPr>
        <w:tabs>
          <w:tab w:val="left" w:pos="360"/>
        </w:tabs>
        <w:ind w:left="360" w:hanging="360"/>
        <w:rPr>
          <w:color w:val="222222"/>
          <w:shd w:val="clear" w:color="auto" w:fill="FFFFFF"/>
        </w:rPr>
      </w:pPr>
      <w:proofErr w:type="spellStart"/>
      <w:r w:rsidRPr="00FC367F">
        <w:rPr>
          <w:color w:val="222222"/>
          <w:shd w:val="clear" w:color="auto" w:fill="FFFFFF"/>
        </w:rPr>
        <w:lastRenderedPageBreak/>
        <w:t>Raska</w:t>
      </w:r>
      <w:proofErr w:type="spellEnd"/>
      <w:r w:rsidRPr="00FC367F">
        <w:rPr>
          <w:color w:val="222222"/>
          <w:shd w:val="clear" w:color="auto" w:fill="FFFFFF"/>
        </w:rPr>
        <w:t xml:space="preserve">, D., &amp; </w:t>
      </w:r>
      <w:proofErr w:type="spellStart"/>
      <w:r w:rsidRPr="00FC367F">
        <w:rPr>
          <w:color w:val="222222"/>
          <w:shd w:val="clear" w:color="auto" w:fill="FFFFFF"/>
        </w:rPr>
        <w:t>Weisenbach</w:t>
      </w:r>
      <w:proofErr w:type="spellEnd"/>
      <w:r w:rsidRPr="00FC367F">
        <w:rPr>
          <w:color w:val="222222"/>
          <w:shd w:val="clear" w:color="auto" w:fill="FFFFFF"/>
        </w:rPr>
        <w:t xml:space="preserve"> Keller, E. (2021). Turning Marketing Classrooms and a Student</w:t>
      </w:r>
      <w:r w:rsidR="00A90E64">
        <w:rPr>
          <w:color w:val="222222"/>
          <w:shd w:val="clear" w:color="auto" w:fill="FFFFFF"/>
        </w:rPr>
        <w:t xml:space="preserve"> </w:t>
      </w:r>
      <w:r w:rsidRPr="00FC367F">
        <w:rPr>
          <w:color w:val="222222"/>
          <w:shd w:val="clear" w:color="auto" w:fill="FFFFFF"/>
        </w:rPr>
        <w:t xml:space="preserve">Organization </w:t>
      </w:r>
      <w:r w:rsidR="00BF5B69">
        <w:rPr>
          <w:color w:val="222222"/>
          <w:shd w:val="clear" w:color="auto" w:fill="FFFFFF"/>
        </w:rPr>
        <w:t>i</w:t>
      </w:r>
      <w:r w:rsidRPr="00FC367F">
        <w:rPr>
          <w:color w:val="222222"/>
          <w:shd w:val="clear" w:color="auto" w:fill="FFFFFF"/>
        </w:rPr>
        <w:t>nto an Engine of Economic Empowerment. </w:t>
      </w:r>
      <w:r w:rsidRPr="00FC367F">
        <w:rPr>
          <w:i/>
          <w:iCs/>
          <w:color w:val="222222"/>
          <w:shd w:val="clear" w:color="auto" w:fill="FFFFFF"/>
        </w:rPr>
        <w:t>Marketing Education</w:t>
      </w:r>
      <w:r w:rsidR="00A90E64">
        <w:rPr>
          <w:i/>
          <w:iCs/>
          <w:color w:val="222222"/>
          <w:shd w:val="clear" w:color="auto" w:fill="FFFFFF"/>
        </w:rPr>
        <w:t xml:space="preserve"> </w:t>
      </w:r>
      <w:r w:rsidRPr="00FC367F">
        <w:rPr>
          <w:i/>
          <w:iCs/>
          <w:color w:val="222222"/>
          <w:shd w:val="clear" w:color="auto" w:fill="FFFFFF"/>
        </w:rPr>
        <w:t>Review</w:t>
      </w:r>
      <w:r w:rsidRPr="00FC367F">
        <w:rPr>
          <w:color w:val="222222"/>
          <w:shd w:val="clear" w:color="auto" w:fill="FFFFFF"/>
        </w:rPr>
        <w:t>, </w:t>
      </w:r>
      <w:r w:rsidRPr="00FC367F">
        <w:rPr>
          <w:i/>
          <w:iCs/>
          <w:color w:val="222222"/>
          <w:shd w:val="clear" w:color="auto" w:fill="FFFFFF"/>
        </w:rPr>
        <w:t>31</w:t>
      </w:r>
      <w:r w:rsidRPr="00FC367F">
        <w:rPr>
          <w:color w:val="222222"/>
          <w:shd w:val="clear" w:color="auto" w:fill="FFFFFF"/>
        </w:rPr>
        <w:t>(2), 175-182.</w:t>
      </w:r>
      <w:r w:rsidR="00BF5B69">
        <w:rPr>
          <w:color w:val="222222"/>
          <w:shd w:val="clear" w:color="auto" w:fill="FFFFFF"/>
        </w:rPr>
        <w:t xml:space="preserve"> </w:t>
      </w:r>
      <w:hyperlink r:id="rId64" w:history="1">
        <w:r w:rsidR="00BF5B69" w:rsidRPr="00BF5B69">
          <w:rPr>
            <w:rStyle w:val="Hyperlink"/>
            <w:shd w:val="clear" w:color="auto" w:fill="FFFFFF"/>
          </w:rPr>
          <w:t>https://doi.org/10.1080/10528008.2021.1901234</w:t>
        </w:r>
      </w:hyperlink>
    </w:p>
    <w:p w14:paraId="281A4B08" w14:textId="70867DE6" w:rsidR="00D42FC0" w:rsidRDefault="00D42FC0" w:rsidP="006D50C3">
      <w:pPr>
        <w:tabs>
          <w:tab w:val="left" w:pos="360"/>
        </w:tabs>
        <w:ind w:left="360" w:hanging="360"/>
        <w:rPr>
          <w:color w:val="222222"/>
          <w:shd w:val="clear" w:color="auto" w:fill="FFFFFF"/>
        </w:rPr>
      </w:pPr>
    </w:p>
    <w:p w14:paraId="5370E355" w14:textId="513C2F7F" w:rsidR="00D42FC0" w:rsidRPr="00D42FC0" w:rsidRDefault="001F43B4" w:rsidP="006D50C3">
      <w:pPr>
        <w:tabs>
          <w:tab w:val="left" w:pos="360"/>
        </w:tabs>
        <w:ind w:left="360" w:hanging="360"/>
      </w:pPr>
      <w:proofErr w:type="spellStart"/>
      <w:r w:rsidRPr="00D42FC0">
        <w:t>Renbarger</w:t>
      </w:r>
      <w:proofErr w:type="spellEnd"/>
      <w:r w:rsidRPr="00D42FC0">
        <w:t>, R. (2019). Graduate school preparation from the Ronald E. McNair</w:t>
      </w:r>
      <w:r w:rsidR="00A90E64">
        <w:t xml:space="preserve"> </w:t>
      </w:r>
      <w:r w:rsidRPr="00D42FC0">
        <w:t>Postbaccalaureate Achievement Program: A systematic review. </w:t>
      </w:r>
      <w:r w:rsidRPr="00D42FC0">
        <w:rPr>
          <w:i/>
          <w:iCs/>
        </w:rPr>
        <w:t>Higher Education Politics &amp; Economics</w:t>
      </w:r>
      <w:r w:rsidRPr="00D42FC0">
        <w:t>, </w:t>
      </w:r>
      <w:r w:rsidRPr="00D42FC0">
        <w:rPr>
          <w:i/>
          <w:iCs/>
        </w:rPr>
        <w:t>5</w:t>
      </w:r>
      <w:r w:rsidRPr="00D42FC0">
        <w:t>(1), 33-53.</w:t>
      </w:r>
      <w:r w:rsidR="001B35E6">
        <w:t xml:space="preserve"> </w:t>
      </w:r>
      <w:hyperlink r:id="rId65" w:history="1">
        <w:r w:rsidR="001B35E6" w:rsidRPr="001B35E6">
          <w:rPr>
            <w:rStyle w:val="Hyperlink"/>
          </w:rPr>
          <w:t>https://doi.org/10.32674/hepe.v5i1.1139</w:t>
        </w:r>
      </w:hyperlink>
    </w:p>
    <w:p w14:paraId="09AF5BA8" w14:textId="77777777" w:rsidR="001F43B4" w:rsidRPr="001F43B4" w:rsidRDefault="001F43B4" w:rsidP="006D50C3">
      <w:pPr>
        <w:tabs>
          <w:tab w:val="left" w:pos="360"/>
        </w:tabs>
        <w:ind w:left="360" w:hanging="360"/>
      </w:pPr>
    </w:p>
    <w:p w14:paraId="13F5EE6D" w14:textId="6EFC289A" w:rsidR="00A90E64" w:rsidRDefault="001F43B4" w:rsidP="00C6631D">
      <w:pPr>
        <w:tabs>
          <w:tab w:val="left" w:pos="360"/>
        </w:tabs>
        <w:ind w:left="360" w:hanging="360"/>
      </w:pPr>
      <w:proofErr w:type="spellStart"/>
      <w:r>
        <w:t>Renbarge</w:t>
      </w:r>
      <w:r w:rsidRPr="001F43B4">
        <w:t>r</w:t>
      </w:r>
      <w:proofErr w:type="spellEnd"/>
      <w:r w:rsidRPr="001F43B4">
        <w:t>, R., &amp; Long, K. (2019). Interventions for postsecondary success for low-income and high-potential students: A systematic review. </w:t>
      </w:r>
      <w:r w:rsidRPr="001F43B4">
        <w:rPr>
          <w:i/>
          <w:iCs/>
        </w:rPr>
        <w:t>Journal of Advanced Academics</w:t>
      </w:r>
      <w:r w:rsidRPr="001F43B4">
        <w:t>, </w:t>
      </w:r>
      <w:r w:rsidRPr="001F43B4">
        <w:rPr>
          <w:i/>
          <w:iCs/>
        </w:rPr>
        <w:t>30</w:t>
      </w:r>
      <w:r w:rsidRPr="001F43B4">
        <w:t>(2), 178-20</w:t>
      </w:r>
      <w:r>
        <w:t>2.</w:t>
      </w:r>
      <w:r w:rsidR="001B35E6">
        <w:t xml:space="preserve"> </w:t>
      </w:r>
      <w:hyperlink r:id="rId66" w:history="1">
        <w:r w:rsidR="001B35E6" w:rsidRPr="001B35E6">
          <w:rPr>
            <w:rStyle w:val="Hyperlink"/>
          </w:rPr>
          <w:t>https://doi.org/10.1177/1932202X198287</w:t>
        </w:r>
      </w:hyperlink>
    </w:p>
    <w:p w14:paraId="3582511F" w14:textId="77777777" w:rsidR="00BF5B69" w:rsidRPr="00257F7A" w:rsidRDefault="00BF5B69" w:rsidP="00C6631D">
      <w:pPr>
        <w:tabs>
          <w:tab w:val="left" w:pos="360"/>
        </w:tabs>
        <w:ind w:left="360" w:hanging="360"/>
      </w:pPr>
    </w:p>
    <w:tbl>
      <w:tblPr>
        <w:tblW w:w="6564" w:type="dxa"/>
        <w:shd w:val="clear" w:color="auto" w:fill="FFFFFF"/>
        <w:tblCellMar>
          <w:left w:w="0" w:type="dxa"/>
          <w:right w:w="0" w:type="dxa"/>
        </w:tblCellMar>
        <w:tblLook w:val="04A0" w:firstRow="1" w:lastRow="0" w:firstColumn="1" w:lastColumn="0" w:noHBand="0" w:noVBand="1"/>
      </w:tblPr>
      <w:tblGrid>
        <w:gridCol w:w="6564"/>
      </w:tblGrid>
      <w:tr w:rsidR="001F43B4" w:rsidRPr="001F43B4" w14:paraId="49525552" w14:textId="77777777" w:rsidTr="001F43B4">
        <w:tc>
          <w:tcPr>
            <w:tcW w:w="0" w:type="auto"/>
            <w:shd w:val="clear" w:color="auto" w:fill="FFFFFF"/>
            <w:vAlign w:val="center"/>
            <w:hideMark/>
          </w:tcPr>
          <w:p w14:paraId="307310A5" w14:textId="77777777" w:rsidR="001F43B4" w:rsidRPr="001F43B4" w:rsidRDefault="001F43B4" w:rsidP="006D50C3">
            <w:pPr>
              <w:pStyle w:val="NormalWeb"/>
              <w:tabs>
                <w:tab w:val="left" w:pos="360"/>
              </w:tabs>
              <w:spacing w:before="0" w:beforeAutospacing="0" w:after="0" w:afterAutospacing="0"/>
              <w:ind w:left="360" w:hanging="360"/>
              <w:rPr>
                <w:color w:val="000000"/>
              </w:rPr>
            </w:pPr>
          </w:p>
        </w:tc>
      </w:tr>
    </w:tbl>
    <w:p w14:paraId="7B9CB8B4" w14:textId="04C35914"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Santos, S., &amp; </w:t>
      </w:r>
      <w:proofErr w:type="spellStart"/>
      <w:r w:rsidRPr="00257F7A">
        <w:rPr>
          <w:color w:val="000000"/>
        </w:rPr>
        <w:t>Reigadas</w:t>
      </w:r>
      <w:proofErr w:type="spellEnd"/>
      <w:r w:rsidRPr="00257F7A">
        <w:rPr>
          <w:color w:val="000000"/>
        </w:rPr>
        <w:t xml:space="preserve">, E. (2002). Latinos in </w:t>
      </w:r>
      <w:r w:rsidR="00BC082F">
        <w:rPr>
          <w:color w:val="000000"/>
        </w:rPr>
        <w:t>h</w:t>
      </w:r>
      <w:r w:rsidRPr="00257F7A">
        <w:rPr>
          <w:color w:val="000000"/>
        </w:rPr>
        <w:t xml:space="preserve">igher </w:t>
      </w:r>
      <w:r w:rsidR="00BC082F">
        <w:rPr>
          <w:color w:val="000000"/>
        </w:rPr>
        <w:t>e</w:t>
      </w:r>
      <w:r w:rsidRPr="00257F7A">
        <w:rPr>
          <w:color w:val="000000"/>
        </w:rPr>
        <w:t xml:space="preserve">ducation: An </w:t>
      </w:r>
      <w:r w:rsidR="00BC082F">
        <w:rPr>
          <w:color w:val="000000"/>
        </w:rPr>
        <w:t>e</w:t>
      </w:r>
      <w:r w:rsidRPr="00257F7A">
        <w:rPr>
          <w:color w:val="000000"/>
        </w:rPr>
        <w:t xml:space="preserve">valuation of a </w:t>
      </w:r>
      <w:r w:rsidR="00BC082F">
        <w:rPr>
          <w:color w:val="000000"/>
        </w:rPr>
        <w:t>u</w:t>
      </w:r>
      <w:r w:rsidRPr="00257F7A">
        <w:rPr>
          <w:color w:val="000000"/>
        </w:rPr>
        <w:t xml:space="preserve">niversity </w:t>
      </w:r>
      <w:r w:rsidR="00BC082F">
        <w:rPr>
          <w:color w:val="000000"/>
        </w:rPr>
        <w:t>f</w:t>
      </w:r>
      <w:r w:rsidRPr="00257F7A">
        <w:rPr>
          <w:color w:val="000000"/>
        </w:rPr>
        <w:t xml:space="preserve">aculty </w:t>
      </w:r>
      <w:r w:rsidR="00BC082F">
        <w:rPr>
          <w:color w:val="000000"/>
        </w:rPr>
        <w:t>m</w:t>
      </w:r>
      <w:r w:rsidRPr="00257F7A">
        <w:rPr>
          <w:color w:val="000000"/>
        </w:rPr>
        <w:t xml:space="preserve">entoring </w:t>
      </w:r>
      <w:r w:rsidR="00BC082F">
        <w:rPr>
          <w:color w:val="000000"/>
        </w:rPr>
        <w:t>p</w:t>
      </w:r>
      <w:r w:rsidRPr="00257F7A">
        <w:rPr>
          <w:color w:val="000000"/>
        </w:rPr>
        <w:t xml:space="preserve">rogram. </w:t>
      </w:r>
      <w:r w:rsidRPr="00257F7A">
        <w:rPr>
          <w:i/>
          <w:iCs/>
          <w:color w:val="000000"/>
        </w:rPr>
        <w:t>Journal of Hispanic Higher Education</w:t>
      </w:r>
      <w:r w:rsidRPr="00257F7A">
        <w:rPr>
          <w:color w:val="000000"/>
        </w:rPr>
        <w:t xml:space="preserve">, </w:t>
      </w:r>
      <w:r w:rsidRPr="00257F7A">
        <w:rPr>
          <w:i/>
          <w:iCs/>
          <w:color w:val="000000"/>
        </w:rPr>
        <w:t>1</w:t>
      </w:r>
      <w:r w:rsidRPr="00257F7A">
        <w:rPr>
          <w:color w:val="000000"/>
        </w:rPr>
        <w:t xml:space="preserve">, 40–50. </w:t>
      </w:r>
      <w:hyperlink r:id="rId67" w:history="1">
        <w:r w:rsidR="00A90E64" w:rsidRPr="00BF01B9">
          <w:rPr>
            <w:rStyle w:val="Hyperlink"/>
          </w:rPr>
          <w:t>https://doi.org/10.1177/1538192702001001004</w:t>
        </w:r>
      </w:hyperlink>
    </w:p>
    <w:p w14:paraId="42459FBF" w14:textId="77777777" w:rsidR="00D42FC0" w:rsidRPr="00257F7A" w:rsidRDefault="00D42FC0" w:rsidP="006D50C3">
      <w:pPr>
        <w:pStyle w:val="NormalWeb"/>
        <w:tabs>
          <w:tab w:val="left" w:pos="360"/>
        </w:tabs>
        <w:spacing w:before="0" w:beforeAutospacing="0" w:after="0" w:afterAutospacing="0"/>
        <w:ind w:left="360" w:hanging="360"/>
      </w:pPr>
    </w:p>
    <w:p w14:paraId="59FEB050" w14:textId="77777777" w:rsidR="00A90E64" w:rsidRDefault="006E6F08" w:rsidP="00A90E64">
      <w:pPr>
        <w:pStyle w:val="NormalWeb"/>
        <w:tabs>
          <w:tab w:val="left" w:pos="360"/>
        </w:tabs>
        <w:spacing w:before="0" w:beforeAutospacing="0" w:after="0" w:afterAutospacing="0"/>
        <w:ind w:left="360" w:hanging="360"/>
      </w:pPr>
      <w:proofErr w:type="spellStart"/>
      <w:r w:rsidRPr="00257F7A">
        <w:rPr>
          <w:color w:val="000000"/>
        </w:rPr>
        <w:t>Schetter</w:t>
      </w:r>
      <w:proofErr w:type="spellEnd"/>
      <w:r w:rsidRPr="00257F7A">
        <w:rPr>
          <w:color w:val="000000"/>
        </w:rPr>
        <w:t xml:space="preserve">, C. D., &amp; </w:t>
      </w:r>
      <w:proofErr w:type="spellStart"/>
      <w:r w:rsidRPr="00257F7A">
        <w:rPr>
          <w:color w:val="000000"/>
        </w:rPr>
        <w:t>Dolbier</w:t>
      </w:r>
      <w:proofErr w:type="spellEnd"/>
      <w:r w:rsidRPr="00257F7A">
        <w:rPr>
          <w:color w:val="000000"/>
        </w:rPr>
        <w:t xml:space="preserve">, C. (2011). Resilience in the </w:t>
      </w:r>
      <w:r w:rsidR="00BC082F">
        <w:rPr>
          <w:color w:val="000000"/>
        </w:rPr>
        <w:t>c</w:t>
      </w:r>
      <w:r w:rsidRPr="00257F7A">
        <w:rPr>
          <w:color w:val="000000"/>
        </w:rPr>
        <w:t xml:space="preserve">ontext of </w:t>
      </w:r>
      <w:r w:rsidR="00BC082F">
        <w:rPr>
          <w:color w:val="000000"/>
        </w:rPr>
        <w:t>c</w:t>
      </w:r>
      <w:r w:rsidRPr="00257F7A">
        <w:rPr>
          <w:color w:val="000000"/>
        </w:rPr>
        <w:t xml:space="preserve">hronic </w:t>
      </w:r>
      <w:r w:rsidR="00BC082F">
        <w:rPr>
          <w:color w:val="000000"/>
        </w:rPr>
        <w:t>s</w:t>
      </w:r>
      <w:r w:rsidRPr="00257F7A">
        <w:rPr>
          <w:color w:val="000000"/>
        </w:rPr>
        <w:t xml:space="preserve">tress and </w:t>
      </w:r>
      <w:r w:rsidR="00BC082F">
        <w:rPr>
          <w:color w:val="000000"/>
        </w:rPr>
        <w:t>h</w:t>
      </w:r>
      <w:r w:rsidRPr="00257F7A">
        <w:rPr>
          <w:color w:val="000000"/>
        </w:rPr>
        <w:t xml:space="preserve">ealth in </w:t>
      </w:r>
      <w:r w:rsidR="00BC082F">
        <w:rPr>
          <w:color w:val="000000"/>
        </w:rPr>
        <w:t>a</w:t>
      </w:r>
      <w:r w:rsidRPr="00257F7A">
        <w:rPr>
          <w:color w:val="000000"/>
        </w:rPr>
        <w:t xml:space="preserve">dults. </w:t>
      </w:r>
      <w:r w:rsidRPr="00257F7A">
        <w:rPr>
          <w:i/>
          <w:iCs/>
          <w:color w:val="000000"/>
        </w:rPr>
        <w:t>Social and Personality Psychology Compass</w:t>
      </w:r>
      <w:r w:rsidRPr="00257F7A">
        <w:rPr>
          <w:color w:val="000000"/>
        </w:rPr>
        <w:t xml:space="preserve">, </w:t>
      </w:r>
      <w:r w:rsidRPr="00257F7A">
        <w:rPr>
          <w:i/>
          <w:iCs/>
          <w:color w:val="000000"/>
        </w:rPr>
        <w:t>5</w:t>
      </w:r>
      <w:r w:rsidRPr="00257F7A">
        <w:rPr>
          <w:color w:val="000000"/>
        </w:rPr>
        <w:t>(9), 634–652.</w:t>
      </w:r>
      <w:r w:rsidR="00A90E64">
        <w:rPr>
          <w:color w:val="000000"/>
        </w:rPr>
        <w:t xml:space="preserve"> </w:t>
      </w:r>
      <w:hyperlink r:id="rId68" w:history="1">
        <w:r w:rsidR="00A90E64" w:rsidRPr="00BF01B9">
          <w:rPr>
            <w:rStyle w:val="Hyperlink"/>
          </w:rPr>
          <w:t>https://doi.org/10.1111/j.1751-9004.2011.00379.x</w:t>
        </w:r>
      </w:hyperlink>
    </w:p>
    <w:p w14:paraId="293C8019" w14:textId="39888BED" w:rsidR="009528C1" w:rsidRPr="00FD798F" w:rsidRDefault="009528C1" w:rsidP="00FD798F">
      <w:pPr>
        <w:pStyle w:val="NormalWeb"/>
        <w:tabs>
          <w:tab w:val="left" w:pos="360"/>
        </w:tabs>
        <w:ind w:left="360" w:hanging="360"/>
        <w:rPr>
          <w:color w:val="212121"/>
        </w:rPr>
      </w:pPr>
      <w:r w:rsidRPr="009528C1">
        <w:rPr>
          <w:color w:val="212121"/>
        </w:rPr>
        <w:t xml:space="preserve">Schwartz, S. E., </w:t>
      </w:r>
      <w:proofErr w:type="spellStart"/>
      <w:r w:rsidRPr="009528C1">
        <w:rPr>
          <w:color w:val="212121"/>
        </w:rPr>
        <w:t>Kanchewa</w:t>
      </w:r>
      <w:proofErr w:type="spellEnd"/>
      <w:r w:rsidRPr="009528C1">
        <w:rPr>
          <w:color w:val="212121"/>
        </w:rPr>
        <w:t xml:space="preserve">, S. S., Rhodes, J. E., </w:t>
      </w:r>
      <w:proofErr w:type="spellStart"/>
      <w:r w:rsidRPr="009528C1">
        <w:rPr>
          <w:color w:val="212121"/>
        </w:rPr>
        <w:t>Gowdy</w:t>
      </w:r>
      <w:proofErr w:type="spellEnd"/>
      <w:r w:rsidRPr="009528C1">
        <w:rPr>
          <w:color w:val="212121"/>
        </w:rPr>
        <w:t xml:space="preserve">, G., Stark, A. M., Horn, J. P., ... &amp; Spencer, R. (2018). “I'm having a little struggle with </w:t>
      </w:r>
      <w:proofErr w:type="gramStart"/>
      <w:r w:rsidRPr="009528C1">
        <w:rPr>
          <w:color w:val="212121"/>
        </w:rPr>
        <w:t>this,</w:t>
      </w:r>
      <w:proofErr w:type="gramEnd"/>
      <w:r w:rsidRPr="009528C1">
        <w:rPr>
          <w:color w:val="212121"/>
        </w:rPr>
        <w:t xml:space="preserve"> can you help me out?”: Examining impacts and processes of a social capital intervention for first‐generation college students. </w:t>
      </w:r>
      <w:r w:rsidRPr="009528C1">
        <w:rPr>
          <w:i/>
          <w:iCs/>
          <w:color w:val="212121"/>
        </w:rPr>
        <w:t>American Journal of Community Psychology</w:t>
      </w:r>
      <w:r w:rsidRPr="009528C1">
        <w:rPr>
          <w:color w:val="212121"/>
        </w:rPr>
        <w:t>, </w:t>
      </w:r>
      <w:r w:rsidRPr="009528C1">
        <w:rPr>
          <w:i/>
          <w:iCs/>
          <w:color w:val="212121"/>
        </w:rPr>
        <w:t>61</w:t>
      </w:r>
      <w:r w:rsidRPr="009528C1">
        <w:rPr>
          <w:color w:val="212121"/>
        </w:rPr>
        <w:t xml:space="preserve">(1-2), 166-178. </w:t>
      </w:r>
      <w:hyperlink r:id="rId69" w:history="1">
        <w:r w:rsidR="00FD798F" w:rsidRPr="00FD798F">
          <w:rPr>
            <w:rStyle w:val="Hyperlink"/>
          </w:rPr>
          <w:t>https://doi.org/10.1002/ajcp.12206</w:t>
        </w:r>
      </w:hyperlink>
    </w:p>
    <w:p w14:paraId="1D013955" w14:textId="110B19D3" w:rsidR="00D914B1" w:rsidRPr="00A90E64" w:rsidRDefault="00D914B1" w:rsidP="00A90E64">
      <w:pPr>
        <w:pStyle w:val="NormalWeb"/>
        <w:tabs>
          <w:tab w:val="left" w:pos="360"/>
        </w:tabs>
        <w:spacing w:before="0" w:beforeAutospacing="0" w:after="0" w:afterAutospacing="0"/>
        <w:ind w:left="360" w:hanging="360"/>
      </w:pPr>
      <w:r w:rsidRPr="00CA5B1D">
        <w:rPr>
          <w:color w:val="212121"/>
        </w:rPr>
        <w:t>Scott, K. M., Lim, C., Al-</w:t>
      </w:r>
      <w:proofErr w:type="spellStart"/>
      <w:r w:rsidRPr="00CA5B1D">
        <w:rPr>
          <w:color w:val="212121"/>
        </w:rPr>
        <w:t>Hamzawi</w:t>
      </w:r>
      <w:proofErr w:type="spellEnd"/>
      <w:r w:rsidRPr="00CA5B1D">
        <w:rPr>
          <w:color w:val="212121"/>
        </w:rPr>
        <w:t xml:space="preserve">, A., Alonso, J., </w:t>
      </w:r>
      <w:proofErr w:type="spellStart"/>
      <w:r w:rsidRPr="00CA5B1D">
        <w:rPr>
          <w:color w:val="212121"/>
        </w:rPr>
        <w:t>Bruffaerts</w:t>
      </w:r>
      <w:proofErr w:type="spellEnd"/>
      <w:r w:rsidRPr="00CA5B1D">
        <w:rPr>
          <w:color w:val="212121"/>
        </w:rPr>
        <w:t xml:space="preserve">, R., Caldas-de-Almeida, J. M., </w:t>
      </w:r>
      <w:proofErr w:type="spellStart"/>
      <w:r w:rsidRPr="00CA5B1D">
        <w:rPr>
          <w:color w:val="212121"/>
        </w:rPr>
        <w:t>Florescu</w:t>
      </w:r>
      <w:proofErr w:type="spellEnd"/>
      <w:r w:rsidRPr="00CA5B1D">
        <w:rPr>
          <w:color w:val="212121"/>
        </w:rPr>
        <w:t>, S., … &amp; Kessler, R. C. (2016). Association of mental disorders with subsequent chronic physical conditions: World mental health surveys from 17 countries. </w:t>
      </w:r>
      <w:r w:rsidRPr="00CA5B1D">
        <w:rPr>
          <w:i/>
          <w:iCs/>
          <w:color w:val="212121"/>
        </w:rPr>
        <w:t>JAMA Psychiatry</w:t>
      </w:r>
      <w:r w:rsidRPr="00CA5B1D">
        <w:rPr>
          <w:color w:val="212121"/>
        </w:rPr>
        <w:t>, </w:t>
      </w:r>
      <w:r w:rsidRPr="00CA5B1D">
        <w:rPr>
          <w:i/>
          <w:iCs/>
          <w:color w:val="212121"/>
        </w:rPr>
        <w:t>73</w:t>
      </w:r>
      <w:r w:rsidRPr="00CA5B1D">
        <w:rPr>
          <w:color w:val="212121"/>
        </w:rPr>
        <w:t xml:space="preserve">(2), 150–158. </w:t>
      </w:r>
      <w:hyperlink r:id="rId70" w:history="1">
        <w:r w:rsidR="00D42FC0" w:rsidRPr="00126DCE">
          <w:rPr>
            <w:rStyle w:val="Hyperlink"/>
          </w:rPr>
          <w:t>https://doi.org/10.1001/jamapsychiatry.2015.2688</w:t>
        </w:r>
      </w:hyperlink>
    </w:p>
    <w:p w14:paraId="0441DF27" w14:textId="77777777" w:rsidR="00D42FC0" w:rsidRPr="00D914B1" w:rsidRDefault="00D42FC0" w:rsidP="006D50C3">
      <w:pPr>
        <w:pStyle w:val="NormalWeb"/>
        <w:tabs>
          <w:tab w:val="left" w:pos="360"/>
        </w:tabs>
        <w:spacing w:before="0" w:beforeAutospacing="0" w:after="0" w:afterAutospacing="0"/>
        <w:ind w:left="360" w:hanging="360"/>
      </w:pPr>
    </w:p>
    <w:p w14:paraId="4C423E54" w14:textId="77777777" w:rsidR="000C660B" w:rsidRDefault="000C660B" w:rsidP="006D50C3">
      <w:pPr>
        <w:tabs>
          <w:tab w:val="left" w:pos="360"/>
          <w:tab w:val="left" w:pos="720"/>
        </w:tabs>
        <w:autoSpaceDE w:val="0"/>
        <w:autoSpaceDN w:val="0"/>
        <w:adjustRightInd w:val="0"/>
        <w:ind w:left="360" w:hanging="360"/>
        <w:rPr>
          <w:rFonts w:eastAsia="Batang"/>
          <w:color w:val="000000"/>
        </w:rPr>
      </w:pPr>
      <w:r w:rsidRPr="00FC367F">
        <w:rPr>
          <w:rFonts w:eastAsia="Batang"/>
          <w:color w:val="000000"/>
        </w:rPr>
        <w:t xml:space="preserve">Seymour, S., &amp; Lopez, S. (2015). “Big six” college experiences linked to life preparedness. </w:t>
      </w:r>
    </w:p>
    <w:p w14:paraId="14F48BBB" w14:textId="743644FF" w:rsidR="000C660B" w:rsidRPr="00FC367F" w:rsidRDefault="000C660B" w:rsidP="006D50C3">
      <w:pPr>
        <w:tabs>
          <w:tab w:val="left" w:pos="360"/>
          <w:tab w:val="left" w:pos="720"/>
        </w:tabs>
        <w:autoSpaceDE w:val="0"/>
        <w:autoSpaceDN w:val="0"/>
        <w:adjustRightInd w:val="0"/>
        <w:ind w:left="360" w:hanging="360"/>
        <w:rPr>
          <w:rFonts w:eastAsia="Batang"/>
          <w:color w:val="000000"/>
        </w:rPr>
      </w:pPr>
      <w:r>
        <w:rPr>
          <w:rFonts w:eastAsia="Batang"/>
          <w:color w:val="000000"/>
        </w:rPr>
        <w:tab/>
      </w:r>
      <w:r w:rsidRPr="00FC367F">
        <w:rPr>
          <w:rFonts w:eastAsia="Batang"/>
          <w:color w:val="000000"/>
        </w:rPr>
        <w:t>Gallup</w:t>
      </w:r>
      <w:r>
        <w:rPr>
          <w:rFonts w:eastAsia="Batang"/>
          <w:color w:val="000000"/>
        </w:rPr>
        <w:t xml:space="preserve">. </w:t>
      </w:r>
      <w:hyperlink r:id="rId71" w:history="1">
        <w:r w:rsidRPr="00FC367F">
          <w:rPr>
            <w:rStyle w:val="Hyperlink"/>
            <w:rFonts w:eastAsia="Batang"/>
          </w:rPr>
          <w:t>https://news.gallup.com/poll/182306/big-six-college-experiences-linked-life-preparedness.aspx</w:t>
        </w:r>
      </w:hyperlink>
      <w:r>
        <w:rPr>
          <w:rFonts w:eastAsia="Batang"/>
          <w:color w:val="000081"/>
        </w:rPr>
        <w:t xml:space="preserve"> </w:t>
      </w:r>
      <w:r w:rsidRPr="000C660B">
        <w:t xml:space="preserve"> </w:t>
      </w:r>
      <w:r>
        <w:t xml:space="preserve"> </w:t>
      </w:r>
    </w:p>
    <w:p w14:paraId="4E62B4F3" w14:textId="77777777" w:rsidR="000C660B" w:rsidRPr="000C660B" w:rsidRDefault="000C660B" w:rsidP="006D50C3">
      <w:pPr>
        <w:tabs>
          <w:tab w:val="left" w:pos="360"/>
        </w:tabs>
        <w:ind w:left="360" w:hanging="360"/>
      </w:pPr>
    </w:p>
    <w:p w14:paraId="3B66EF6A" w14:textId="160FD676" w:rsidR="0064748F" w:rsidRPr="000C660B" w:rsidRDefault="0064748F" w:rsidP="0064748F">
      <w:pPr>
        <w:tabs>
          <w:tab w:val="left" w:pos="360"/>
        </w:tabs>
        <w:ind w:left="360" w:hanging="360"/>
      </w:pPr>
      <w:r w:rsidRPr="009F1CCE">
        <w:rPr>
          <w:rFonts w:eastAsia="Batang"/>
          <w:color w:val="000000"/>
          <w:highlight w:val="yellow"/>
        </w:rPr>
        <w:t xml:space="preserve">Shen, S., Chen, Z., Qin, X., Zhang, M., &amp; Dai, Q. (2021). Remote and adjacent psychological predictors of early-adulthood resilience: Role of early-life trauma, extraversion, life-events, depression, and social-support. </w:t>
      </w:r>
      <w:proofErr w:type="spellStart"/>
      <w:r w:rsidRPr="009F1CCE">
        <w:rPr>
          <w:rFonts w:eastAsia="Batang"/>
          <w:i/>
          <w:iCs/>
          <w:color w:val="000000"/>
          <w:highlight w:val="yellow"/>
        </w:rPr>
        <w:t>PloS</w:t>
      </w:r>
      <w:proofErr w:type="spellEnd"/>
      <w:r w:rsidRPr="009F1CCE">
        <w:rPr>
          <w:rFonts w:eastAsia="Batang"/>
          <w:i/>
          <w:iCs/>
          <w:color w:val="000000"/>
          <w:highlight w:val="yellow"/>
        </w:rPr>
        <w:t xml:space="preserve"> </w:t>
      </w:r>
      <w:r>
        <w:rPr>
          <w:rFonts w:eastAsia="Batang"/>
          <w:i/>
          <w:iCs/>
          <w:color w:val="000000"/>
          <w:highlight w:val="yellow"/>
        </w:rPr>
        <w:t>ONE</w:t>
      </w:r>
      <w:r w:rsidRPr="009F1CCE">
        <w:rPr>
          <w:rFonts w:eastAsia="Batang"/>
          <w:color w:val="000000"/>
          <w:highlight w:val="yellow"/>
        </w:rPr>
        <w:t xml:space="preserve">, </w:t>
      </w:r>
      <w:r w:rsidRPr="009F1CCE">
        <w:rPr>
          <w:rFonts w:eastAsia="Batang"/>
          <w:i/>
          <w:iCs/>
          <w:color w:val="000000"/>
          <w:highlight w:val="yellow"/>
        </w:rPr>
        <w:t>16</w:t>
      </w:r>
      <w:r w:rsidRPr="009F1CCE">
        <w:rPr>
          <w:rFonts w:eastAsia="Batang"/>
          <w:color w:val="000000"/>
          <w:highlight w:val="yellow"/>
        </w:rPr>
        <w:t xml:space="preserve">(6), e0251859. </w:t>
      </w:r>
      <w:hyperlink r:id="rId72" w:history="1">
        <w:r w:rsidRPr="00322012">
          <w:rPr>
            <w:rStyle w:val="Hyperlink"/>
            <w:rFonts w:eastAsia="Batang"/>
            <w:highlight w:val="yellow"/>
          </w:rPr>
          <w:t>https://doi.org/10.1371/journal.pone.0251859</w:t>
        </w:r>
      </w:hyperlink>
      <w:r>
        <w:rPr>
          <w:rFonts w:eastAsia="Batang"/>
          <w:color w:val="000000"/>
        </w:rPr>
        <w:t xml:space="preserve"> </w:t>
      </w:r>
    </w:p>
    <w:p w14:paraId="45D5A4E9" w14:textId="77777777" w:rsidR="0064748F" w:rsidRDefault="0064748F" w:rsidP="006D50C3">
      <w:pPr>
        <w:pStyle w:val="Bibliography"/>
        <w:tabs>
          <w:tab w:val="left" w:pos="360"/>
        </w:tabs>
        <w:ind w:left="360" w:hanging="360"/>
      </w:pPr>
    </w:p>
    <w:p w14:paraId="7DC1D9D8" w14:textId="77777777" w:rsidR="000C476D" w:rsidRDefault="007B59BC" w:rsidP="000C476D">
      <w:pPr>
        <w:pStyle w:val="Bibliography"/>
        <w:tabs>
          <w:tab w:val="left" w:pos="360"/>
        </w:tabs>
        <w:ind w:left="360" w:hanging="360"/>
        <w:rPr>
          <w:rStyle w:val="Hyperlink"/>
        </w:rPr>
      </w:pPr>
      <w:r w:rsidRPr="00257F7A">
        <w:t xml:space="preserve">Smith, B. W., Dalen, J., Wiggins, K., Tooley, E., Christopher, P., &amp; Bernard, J. (2008). The brief resilience scale: Assessing the ability to bounce back. </w:t>
      </w:r>
      <w:r w:rsidRPr="00257F7A">
        <w:rPr>
          <w:i/>
          <w:iCs/>
        </w:rPr>
        <w:t>International Journal of</w:t>
      </w:r>
      <w:r w:rsidR="00A90E64">
        <w:rPr>
          <w:i/>
          <w:iCs/>
        </w:rPr>
        <w:t xml:space="preserve"> </w:t>
      </w:r>
      <w:r w:rsidRPr="00257F7A">
        <w:rPr>
          <w:i/>
          <w:iCs/>
        </w:rPr>
        <w:t>Behavioral Medicine</w:t>
      </w:r>
      <w:r w:rsidRPr="00257F7A">
        <w:t xml:space="preserve">, </w:t>
      </w:r>
      <w:r w:rsidRPr="00257F7A">
        <w:rPr>
          <w:i/>
          <w:iCs/>
        </w:rPr>
        <w:t>15</w:t>
      </w:r>
      <w:r w:rsidRPr="00257F7A">
        <w:t xml:space="preserve">(3), 194–200. </w:t>
      </w:r>
      <w:hyperlink r:id="rId73" w:history="1">
        <w:r w:rsidR="00D42FC0" w:rsidRPr="00126DCE">
          <w:rPr>
            <w:rStyle w:val="Hyperlink"/>
          </w:rPr>
          <w:t>https://doi.org/10.1080/10705500802222972</w:t>
        </w:r>
      </w:hyperlink>
    </w:p>
    <w:p w14:paraId="3AAF02EB" w14:textId="77777777" w:rsidR="00B72AE8" w:rsidRDefault="00B72AE8" w:rsidP="000C476D">
      <w:pPr>
        <w:pStyle w:val="Bibliography"/>
        <w:tabs>
          <w:tab w:val="left" w:pos="360"/>
        </w:tabs>
        <w:ind w:left="360" w:hanging="360"/>
        <w:rPr>
          <w:color w:val="000000"/>
        </w:rPr>
      </w:pPr>
    </w:p>
    <w:p w14:paraId="72863A53" w14:textId="54722980" w:rsidR="006E6F08" w:rsidRDefault="006E6F08" w:rsidP="000C476D">
      <w:pPr>
        <w:pStyle w:val="Bibliography"/>
        <w:tabs>
          <w:tab w:val="left" w:pos="360"/>
        </w:tabs>
        <w:ind w:left="360" w:hanging="360"/>
      </w:pPr>
      <w:r w:rsidRPr="00257F7A">
        <w:rPr>
          <w:color w:val="000000"/>
        </w:rPr>
        <w:lastRenderedPageBreak/>
        <w:t xml:space="preserve">Southwick, S. M., </w:t>
      </w:r>
      <w:proofErr w:type="spellStart"/>
      <w:r w:rsidRPr="00257F7A">
        <w:rPr>
          <w:color w:val="000000"/>
        </w:rPr>
        <w:t>Bonanno</w:t>
      </w:r>
      <w:proofErr w:type="spellEnd"/>
      <w:r w:rsidRPr="00257F7A">
        <w:rPr>
          <w:color w:val="000000"/>
        </w:rPr>
        <w:t xml:space="preserve">, G. A., </w:t>
      </w:r>
      <w:proofErr w:type="spellStart"/>
      <w:r w:rsidRPr="00257F7A">
        <w:rPr>
          <w:color w:val="000000"/>
        </w:rPr>
        <w:t>Masten</w:t>
      </w:r>
      <w:proofErr w:type="spellEnd"/>
      <w:r w:rsidRPr="00257F7A">
        <w:rPr>
          <w:color w:val="000000"/>
        </w:rPr>
        <w:t xml:space="preserve">, A. S., </w:t>
      </w:r>
      <w:proofErr w:type="spellStart"/>
      <w:r w:rsidRPr="00257F7A">
        <w:rPr>
          <w:color w:val="000000"/>
        </w:rPr>
        <w:t>Panter</w:t>
      </w:r>
      <w:proofErr w:type="spellEnd"/>
      <w:r w:rsidRPr="00257F7A">
        <w:rPr>
          <w:color w:val="000000"/>
        </w:rPr>
        <w:t xml:space="preserve">-Brick, C., &amp; Yehuda, R. (2014). Resilience definitions, theory, and challenges: Interdisciplinary perspectives. </w:t>
      </w:r>
      <w:r w:rsidRPr="00257F7A">
        <w:rPr>
          <w:i/>
          <w:iCs/>
          <w:color w:val="000000"/>
        </w:rPr>
        <w:t xml:space="preserve">European Journal of </w:t>
      </w:r>
      <w:proofErr w:type="spellStart"/>
      <w:r w:rsidRPr="00257F7A">
        <w:rPr>
          <w:i/>
          <w:iCs/>
          <w:color w:val="000000"/>
        </w:rPr>
        <w:t>Psychotraumatology</w:t>
      </w:r>
      <w:proofErr w:type="spellEnd"/>
      <w:r w:rsidRPr="00257F7A">
        <w:rPr>
          <w:color w:val="000000"/>
        </w:rPr>
        <w:t xml:space="preserve">, </w:t>
      </w:r>
      <w:r w:rsidRPr="00257F7A">
        <w:rPr>
          <w:i/>
          <w:iCs/>
          <w:color w:val="000000"/>
        </w:rPr>
        <w:t>5</w:t>
      </w:r>
      <w:r w:rsidRPr="00257F7A">
        <w:rPr>
          <w:color w:val="000000"/>
        </w:rPr>
        <w:t xml:space="preserve">. </w:t>
      </w:r>
      <w:hyperlink r:id="rId74" w:history="1">
        <w:r w:rsidR="00D42FC0" w:rsidRPr="00126DCE">
          <w:rPr>
            <w:rStyle w:val="Hyperlink"/>
          </w:rPr>
          <w:t>https://doi.org/10.3402/ejpt.v5.25338</w:t>
        </w:r>
      </w:hyperlink>
    </w:p>
    <w:p w14:paraId="648641B1" w14:textId="77777777" w:rsidR="00B72AE8" w:rsidRDefault="00B72AE8" w:rsidP="006D50C3">
      <w:pPr>
        <w:pStyle w:val="NormalWeb"/>
        <w:tabs>
          <w:tab w:val="left" w:pos="360"/>
        </w:tabs>
        <w:spacing w:before="0" w:beforeAutospacing="0" w:after="0" w:afterAutospacing="0"/>
        <w:ind w:left="360" w:hanging="360"/>
      </w:pPr>
    </w:p>
    <w:p w14:paraId="3565C631" w14:textId="670FCF08" w:rsidR="00787008" w:rsidRDefault="00787008" w:rsidP="006D50C3">
      <w:pPr>
        <w:pStyle w:val="NormalWeb"/>
        <w:tabs>
          <w:tab w:val="left" w:pos="360"/>
        </w:tabs>
        <w:spacing w:before="0" w:beforeAutospacing="0" w:after="0" w:afterAutospacing="0"/>
        <w:ind w:left="360" w:hanging="360"/>
      </w:pPr>
      <w:r w:rsidRPr="00257F7A">
        <w:t xml:space="preserve">Spitzer, R. L., Kroenke, K., Williams, J. B. W., &amp; </w:t>
      </w:r>
      <w:proofErr w:type="spellStart"/>
      <w:r w:rsidRPr="00257F7A">
        <w:t>Löwe</w:t>
      </w:r>
      <w:proofErr w:type="spellEnd"/>
      <w:r w:rsidRPr="00257F7A">
        <w:t xml:space="preserve">, B. (2006). A brief measure for assessing generalized anxiety disorder: The GAD-7. </w:t>
      </w:r>
      <w:r w:rsidRPr="00257F7A">
        <w:rPr>
          <w:i/>
          <w:iCs/>
        </w:rPr>
        <w:t>Archives of Internal Medicine</w:t>
      </w:r>
      <w:r w:rsidRPr="00257F7A">
        <w:t xml:space="preserve">, </w:t>
      </w:r>
      <w:r w:rsidRPr="00257F7A">
        <w:rPr>
          <w:i/>
          <w:iCs/>
        </w:rPr>
        <w:t>166</w:t>
      </w:r>
      <w:r w:rsidRPr="00257F7A">
        <w:t xml:space="preserve">(10), 1092–1097. </w:t>
      </w:r>
      <w:hyperlink r:id="rId75" w:history="1">
        <w:r w:rsidR="00D42FC0" w:rsidRPr="00126DCE">
          <w:rPr>
            <w:rStyle w:val="Hyperlink"/>
          </w:rPr>
          <w:t>https://doi.org/10.1001/archinte.166.10.1092</w:t>
        </w:r>
      </w:hyperlink>
    </w:p>
    <w:p w14:paraId="78B9E791" w14:textId="2516700A" w:rsidR="00BB1546" w:rsidRPr="00BB1546" w:rsidRDefault="00BB1546" w:rsidP="00BB1546">
      <w:pPr>
        <w:pStyle w:val="NormalWeb"/>
        <w:tabs>
          <w:tab w:val="left" w:pos="360"/>
        </w:tabs>
        <w:ind w:left="360" w:hanging="360"/>
        <w:rPr>
          <w:color w:val="000000"/>
        </w:rPr>
      </w:pPr>
      <w:proofErr w:type="spellStart"/>
      <w:r w:rsidRPr="00BB1546">
        <w:rPr>
          <w:color w:val="000000"/>
          <w:highlight w:val="yellow"/>
        </w:rPr>
        <w:t>Sriken</w:t>
      </w:r>
      <w:proofErr w:type="spellEnd"/>
      <w:r w:rsidRPr="00BB1546">
        <w:rPr>
          <w:color w:val="000000"/>
          <w:highlight w:val="yellow"/>
        </w:rPr>
        <w:t xml:space="preserve">, J., Johnsen, S. T., Smith, H., Sherman, M. F., &amp; Erford, B. T. (2022). Testing the </w:t>
      </w:r>
      <w:r w:rsidR="004C480D">
        <w:rPr>
          <w:color w:val="000000"/>
          <w:highlight w:val="yellow"/>
        </w:rPr>
        <w:t>f</w:t>
      </w:r>
      <w:r w:rsidRPr="00BB1546">
        <w:rPr>
          <w:color w:val="000000"/>
          <w:highlight w:val="yellow"/>
        </w:rPr>
        <w:t xml:space="preserve">actorial </w:t>
      </w:r>
      <w:r w:rsidR="004C480D">
        <w:rPr>
          <w:color w:val="000000"/>
          <w:highlight w:val="yellow"/>
        </w:rPr>
        <w:t>v</w:t>
      </w:r>
      <w:r w:rsidRPr="00BB1546">
        <w:rPr>
          <w:color w:val="000000"/>
          <w:highlight w:val="yellow"/>
        </w:rPr>
        <w:t xml:space="preserve">alidity and </w:t>
      </w:r>
      <w:r w:rsidR="004C480D">
        <w:rPr>
          <w:color w:val="000000"/>
          <w:highlight w:val="yellow"/>
        </w:rPr>
        <w:t>m</w:t>
      </w:r>
      <w:r w:rsidRPr="00BB1546">
        <w:rPr>
          <w:color w:val="000000"/>
          <w:highlight w:val="yellow"/>
        </w:rPr>
        <w:t xml:space="preserve">easurement </w:t>
      </w:r>
      <w:r w:rsidR="004C480D">
        <w:rPr>
          <w:color w:val="000000"/>
          <w:highlight w:val="yellow"/>
        </w:rPr>
        <w:t>i</w:t>
      </w:r>
      <w:r w:rsidRPr="00BB1546">
        <w:rPr>
          <w:color w:val="000000"/>
          <w:highlight w:val="yellow"/>
        </w:rPr>
        <w:t xml:space="preserve">nvariance of </w:t>
      </w:r>
      <w:r w:rsidR="004C480D">
        <w:rPr>
          <w:color w:val="000000"/>
          <w:highlight w:val="yellow"/>
        </w:rPr>
        <w:t>c</w:t>
      </w:r>
      <w:r w:rsidRPr="00BB1546">
        <w:rPr>
          <w:color w:val="000000"/>
          <w:highlight w:val="yellow"/>
        </w:rPr>
        <w:t xml:space="preserve">ollege </w:t>
      </w:r>
      <w:r w:rsidR="004C480D">
        <w:rPr>
          <w:color w:val="000000"/>
          <w:highlight w:val="yellow"/>
        </w:rPr>
        <w:t>s</w:t>
      </w:r>
      <w:r w:rsidRPr="00BB1546">
        <w:rPr>
          <w:color w:val="000000"/>
          <w:highlight w:val="yellow"/>
        </w:rPr>
        <w:t xml:space="preserve">tudent </w:t>
      </w:r>
      <w:r w:rsidR="004C480D">
        <w:rPr>
          <w:color w:val="000000"/>
          <w:highlight w:val="yellow"/>
        </w:rPr>
        <w:t>s</w:t>
      </w:r>
      <w:r w:rsidRPr="00BB1546">
        <w:rPr>
          <w:color w:val="000000"/>
          <w:highlight w:val="yellow"/>
        </w:rPr>
        <w:t xml:space="preserve">cores on the </w:t>
      </w:r>
      <w:r w:rsidR="004C480D">
        <w:rPr>
          <w:color w:val="000000"/>
          <w:highlight w:val="yellow"/>
        </w:rPr>
        <w:t>g</w:t>
      </w:r>
      <w:r w:rsidRPr="00BB1546">
        <w:rPr>
          <w:color w:val="000000"/>
          <w:highlight w:val="yellow"/>
        </w:rPr>
        <w:t xml:space="preserve">eneralized </w:t>
      </w:r>
      <w:r w:rsidR="004C480D">
        <w:rPr>
          <w:color w:val="000000"/>
          <w:highlight w:val="yellow"/>
        </w:rPr>
        <w:t>a</w:t>
      </w:r>
      <w:r w:rsidRPr="00BB1546">
        <w:rPr>
          <w:color w:val="000000"/>
          <w:highlight w:val="yellow"/>
        </w:rPr>
        <w:t xml:space="preserve">nxiety </w:t>
      </w:r>
      <w:r w:rsidR="004C480D">
        <w:rPr>
          <w:color w:val="000000"/>
          <w:highlight w:val="yellow"/>
        </w:rPr>
        <w:t>d</w:t>
      </w:r>
      <w:r w:rsidRPr="00BB1546">
        <w:rPr>
          <w:color w:val="000000"/>
          <w:highlight w:val="yellow"/>
        </w:rPr>
        <w:t xml:space="preserve">isorder (GAD-7) </w:t>
      </w:r>
      <w:r w:rsidR="004C480D">
        <w:rPr>
          <w:color w:val="000000"/>
          <w:highlight w:val="yellow"/>
        </w:rPr>
        <w:t>s</w:t>
      </w:r>
      <w:r w:rsidRPr="00BB1546">
        <w:rPr>
          <w:color w:val="000000"/>
          <w:highlight w:val="yellow"/>
        </w:rPr>
        <w:t xml:space="preserve">cale </w:t>
      </w:r>
      <w:r w:rsidR="004C480D">
        <w:rPr>
          <w:color w:val="000000"/>
          <w:highlight w:val="yellow"/>
        </w:rPr>
        <w:t>a</w:t>
      </w:r>
      <w:r w:rsidRPr="00BB1546">
        <w:rPr>
          <w:color w:val="000000"/>
          <w:highlight w:val="yellow"/>
        </w:rPr>
        <w:t xml:space="preserve">cross </w:t>
      </w:r>
      <w:r w:rsidR="004C480D">
        <w:rPr>
          <w:color w:val="000000"/>
          <w:highlight w:val="yellow"/>
        </w:rPr>
        <w:t>g</w:t>
      </w:r>
      <w:r w:rsidRPr="00BB1546">
        <w:rPr>
          <w:color w:val="000000"/>
          <w:highlight w:val="yellow"/>
        </w:rPr>
        <w:t xml:space="preserve">ender and </w:t>
      </w:r>
      <w:r w:rsidR="004C480D">
        <w:rPr>
          <w:color w:val="000000"/>
          <w:highlight w:val="yellow"/>
        </w:rPr>
        <w:t>r</w:t>
      </w:r>
      <w:r w:rsidRPr="00BB1546">
        <w:rPr>
          <w:color w:val="000000"/>
          <w:highlight w:val="yellow"/>
        </w:rPr>
        <w:t>ace. </w:t>
      </w:r>
      <w:r w:rsidRPr="00BB1546">
        <w:rPr>
          <w:i/>
          <w:iCs/>
          <w:color w:val="000000"/>
          <w:highlight w:val="yellow"/>
        </w:rPr>
        <w:t>Measurement and Evaluation in Counseling and Development</w:t>
      </w:r>
      <w:r w:rsidRPr="00BB1546">
        <w:rPr>
          <w:color w:val="000000"/>
          <w:highlight w:val="yellow"/>
        </w:rPr>
        <w:t>, </w:t>
      </w:r>
      <w:r w:rsidRPr="00BB1546">
        <w:rPr>
          <w:i/>
          <w:iCs/>
          <w:color w:val="000000"/>
          <w:highlight w:val="yellow"/>
        </w:rPr>
        <w:t>55</w:t>
      </w:r>
      <w:r w:rsidRPr="00BB1546">
        <w:rPr>
          <w:color w:val="000000"/>
          <w:highlight w:val="yellow"/>
        </w:rPr>
        <w:t xml:space="preserve">(1), 1-16. </w:t>
      </w:r>
      <w:hyperlink r:id="rId76" w:history="1">
        <w:r w:rsidRPr="00BB1546">
          <w:rPr>
            <w:rStyle w:val="Hyperlink"/>
            <w:rFonts w:eastAsia="Batang"/>
            <w:highlight w:val="yellow"/>
          </w:rPr>
          <w:t>https://doi.org/10.1080/07481756.2021.1902239</w:t>
        </w:r>
      </w:hyperlink>
      <w:r>
        <w:rPr>
          <w:rFonts w:ascii="_]ó±ò" w:eastAsia="Batang" w:hAnsi="_]ó±ò" w:cs="_]ó±ò"/>
          <w:sz w:val="20"/>
          <w:szCs w:val="20"/>
        </w:rPr>
        <w:t xml:space="preserve"> </w:t>
      </w:r>
    </w:p>
    <w:p w14:paraId="22786F40" w14:textId="13826E69"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Stanton-Salazar, R. D. (2011). A </w:t>
      </w:r>
      <w:r w:rsidR="00BC082F">
        <w:rPr>
          <w:color w:val="000000"/>
        </w:rPr>
        <w:t>s</w:t>
      </w:r>
      <w:r w:rsidRPr="00257F7A">
        <w:rPr>
          <w:color w:val="000000"/>
        </w:rPr>
        <w:t xml:space="preserve">ocial </w:t>
      </w:r>
      <w:r w:rsidR="00BC082F">
        <w:rPr>
          <w:color w:val="000000"/>
        </w:rPr>
        <w:t>c</w:t>
      </w:r>
      <w:r w:rsidRPr="00257F7A">
        <w:rPr>
          <w:color w:val="000000"/>
        </w:rPr>
        <w:t xml:space="preserve">apital </w:t>
      </w:r>
      <w:r w:rsidR="00BC082F">
        <w:rPr>
          <w:color w:val="000000"/>
        </w:rPr>
        <w:t>f</w:t>
      </w:r>
      <w:r w:rsidRPr="00257F7A">
        <w:rPr>
          <w:color w:val="000000"/>
        </w:rPr>
        <w:t xml:space="preserve">ramework for the </w:t>
      </w:r>
      <w:r w:rsidR="00BC082F">
        <w:rPr>
          <w:color w:val="000000"/>
        </w:rPr>
        <w:t>s</w:t>
      </w:r>
      <w:r w:rsidRPr="00257F7A">
        <w:rPr>
          <w:color w:val="000000"/>
        </w:rPr>
        <w:t xml:space="preserve">tudy of </w:t>
      </w:r>
      <w:r w:rsidR="00BC082F">
        <w:rPr>
          <w:color w:val="000000"/>
        </w:rPr>
        <w:t>i</w:t>
      </w:r>
      <w:r w:rsidRPr="00257F7A">
        <w:rPr>
          <w:color w:val="000000"/>
        </w:rPr>
        <w:t xml:space="preserve">nstitutional </w:t>
      </w:r>
      <w:r w:rsidR="00BC082F">
        <w:rPr>
          <w:color w:val="000000"/>
        </w:rPr>
        <w:t>a</w:t>
      </w:r>
      <w:r w:rsidRPr="00257F7A">
        <w:rPr>
          <w:color w:val="000000"/>
        </w:rPr>
        <w:t xml:space="preserve">gents and </w:t>
      </w:r>
      <w:r w:rsidR="00BC082F">
        <w:rPr>
          <w:color w:val="000000"/>
        </w:rPr>
        <w:t>t</w:t>
      </w:r>
      <w:r w:rsidRPr="00257F7A">
        <w:rPr>
          <w:color w:val="000000"/>
        </w:rPr>
        <w:t xml:space="preserve">heir </w:t>
      </w:r>
      <w:r w:rsidR="00BC082F">
        <w:rPr>
          <w:color w:val="000000"/>
        </w:rPr>
        <w:t>r</w:t>
      </w:r>
      <w:r w:rsidRPr="00257F7A">
        <w:rPr>
          <w:color w:val="000000"/>
        </w:rPr>
        <w:t xml:space="preserve">ole in the </w:t>
      </w:r>
      <w:r w:rsidR="00BC082F">
        <w:rPr>
          <w:color w:val="000000"/>
        </w:rPr>
        <w:t>e</w:t>
      </w:r>
      <w:r w:rsidRPr="00257F7A">
        <w:rPr>
          <w:color w:val="000000"/>
        </w:rPr>
        <w:t xml:space="preserve">mpowerment of </w:t>
      </w:r>
      <w:r w:rsidR="00BC082F">
        <w:rPr>
          <w:color w:val="000000"/>
        </w:rPr>
        <w:t>l</w:t>
      </w:r>
      <w:r w:rsidRPr="00257F7A">
        <w:rPr>
          <w:color w:val="000000"/>
        </w:rPr>
        <w:t>ow-</w:t>
      </w:r>
      <w:r w:rsidR="00BC082F">
        <w:rPr>
          <w:color w:val="000000"/>
        </w:rPr>
        <w:t>s</w:t>
      </w:r>
      <w:r w:rsidRPr="00257F7A">
        <w:rPr>
          <w:color w:val="000000"/>
        </w:rPr>
        <w:t xml:space="preserve">tatus </w:t>
      </w:r>
      <w:r w:rsidR="00BC082F">
        <w:rPr>
          <w:color w:val="000000"/>
        </w:rPr>
        <w:t>s</w:t>
      </w:r>
      <w:r w:rsidRPr="00257F7A">
        <w:rPr>
          <w:color w:val="000000"/>
        </w:rPr>
        <w:t xml:space="preserve">tudents and </w:t>
      </w:r>
      <w:r w:rsidR="00BC082F">
        <w:rPr>
          <w:color w:val="000000"/>
        </w:rPr>
        <w:t>y</w:t>
      </w:r>
      <w:r w:rsidRPr="00257F7A">
        <w:rPr>
          <w:color w:val="000000"/>
        </w:rPr>
        <w:t xml:space="preserve">outh. </w:t>
      </w:r>
      <w:r w:rsidRPr="00257F7A">
        <w:rPr>
          <w:i/>
          <w:iCs/>
          <w:color w:val="000000"/>
        </w:rPr>
        <w:t>Youth &amp; Society</w:t>
      </w:r>
      <w:r w:rsidRPr="00257F7A">
        <w:rPr>
          <w:color w:val="000000"/>
        </w:rPr>
        <w:t xml:space="preserve">, </w:t>
      </w:r>
      <w:r w:rsidR="00F63BBD" w:rsidRPr="00257F7A">
        <w:rPr>
          <w:color w:val="000000"/>
        </w:rPr>
        <w:tab/>
      </w:r>
      <w:r w:rsidRPr="00257F7A">
        <w:rPr>
          <w:i/>
          <w:iCs/>
          <w:color w:val="000000"/>
        </w:rPr>
        <w:t>43</w:t>
      </w:r>
      <w:r w:rsidRPr="00257F7A">
        <w:rPr>
          <w:color w:val="000000"/>
        </w:rPr>
        <w:t xml:space="preserve">(3), 1066–1109. </w:t>
      </w:r>
      <w:hyperlink r:id="rId77" w:history="1">
        <w:r w:rsidR="00D42FC0" w:rsidRPr="00126DCE">
          <w:rPr>
            <w:rStyle w:val="Hyperlink"/>
          </w:rPr>
          <w:t>https://doi.org/10.1177/0044118X10382877</w:t>
        </w:r>
      </w:hyperlink>
    </w:p>
    <w:p w14:paraId="2F770468" w14:textId="77777777" w:rsidR="00D42FC0" w:rsidRPr="00257F7A" w:rsidRDefault="00D42FC0" w:rsidP="0092131C">
      <w:pPr>
        <w:pStyle w:val="NormalWeb"/>
        <w:tabs>
          <w:tab w:val="left" w:pos="360"/>
        </w:tabs>
        <w:spacing w:before="0" w:beforeAutospacing="0" w:after="0" w:afterAutospacing="0"/>
        <w:rPr>
          <w:color w:val="000000"/>
        </w:rPr>
      </w:pPr>
    </w:p>
    <w:p w14:paraId="2A5E1028" w14:textId="659531BE" w:rsidR="003528D7" w:rsidRDefault="003528D7" w:rsidP="006D50C3">
      <w:pPr>
        <w:pStyle w:val="Bibliography"/>
        <w:tabs>
          <w:tab w:val="left" w:pos="360"/>
        </w:tabs>
        <w:ind w:left="360" w:hanging="360"/>
      </w:pPr>
      <w:r w:rsidRPr="00257F7A">
        <w:t xml:space="preserve">Steinhardt, M., &amp; </w:t>
      </w:r>
      <w:proofErr w:type="spellStart"/>
      <w:r w:rsidRPr="00257F7A">
        <w:t>Dolbier</w:t>
      </w:r>
      <w:proofErr w:type="spellEnd"/>
      <w:r w:rsidRPr="00257F7A">
        <w:t xml:space="preserve">, C. (2008). Evaluation of a resilience intervention to enhance coping strategies and protective factors and decrease symptomatology. </w:t>
      </w:r>
      <w:r w:rsidRPr="00257F7A">
        <w:rPr>
          <w:i/>
          <w:iCs/>
        </w:rPr>
        <w:t>Journal of American</w:t>
      </w:r>
      <w:r w:rsidR="007203E6">
        <w:rPr>
          <w:i/>
          <w:iCs/>
        </w:rPr>
        <w:t xml:space="preserve"> </w:t>
      </w:r>
      <w:r w:rsidRPr="00257F7A">
        <w:rPr>
          <w:i/>
          <w:iCs/>
        </w:rPr>
        <w:t>College Health</w:t>
      </w:r>
      <w:r w:rsidRPr="00257F7A">
        <w:t xml:space="preserve">, </w:t>
      </w:r>
      <w:r w:rsidRPr="00257F7A">
        <w:rPr>
          <w:i/>
          <w:iCs/>
        </w:rPr>
        <w:t>56</w:t>
      </w:r>
      <w:r w:rsidRPr="00257F7A">
        <w:t xml:space="preserve">(4), 445–453. </w:t>
      </w:r>
      <w:hyperlink r:id="rId78" w:history="1">
        <w:r w:rsidR="00D42FC0" w:rsidRPr="00126DCE">
          <w:rPr>
            <w:rStyle w:val="Hyperlink"/>
          </w:rPr>
          <w:t>https://doi.org/10.3200/JACH.56.44.445-454</w:t>
        </w:r>
      </w:hyperlink>
    </w:p>
    <w:p w14:paraId="5E544910" w14:textId="77777777" w:rsidR="00D42FC0" w:rsidRPr="00257F7A" w:rsidRDefault="00D42FC0" w:rsidP="006D50C3">
      <w:pPr>
        <w:pStyle w:val="NormalWeb"/>
        <w:tabs>
          <w:tab w:val="left" w:pos="360"/>
        </w:tabs>
        <w:spacing w:before="0" w:beforeAutospacing="0" w:after="0" w:afterAutospacing="0"/>
        <w:ind w:left="360" w:hanging="360"/>
      </w:pPr>
    </w:p>
    <w:p w14:paraId="145BFBAD" w14:textId="21CDBC27" w:rsidR="006E6F08" w:rsidRDefault="006E6F08" w:rsidP="006D50C3">
      <w:pPr>
        <w:pStyle w:val="NormalWeb"/>
        <w:tabs>
          <w:tab w:val="left" w:pos="360"/>
        </w:tabs>
        <w:spacing w:before="0" w:beforeAutospacing="0" w:after="0" w:afterAutospacing="0"/>
        <w:ind w:left="360" w:hanging="360"/>
        <w:rPr>
          <w:color w:val="000000"/>
        </w:rPr>
      </w:pPr>
      <w:r w:rsidRPr="00257F7A">
        <w:rPr>
          <w:color w:val="000000"/>
        </w:rPr>
        <w:t xml:space="preserve">Taylor, Z. E., </w:t>
      </w:r>
      <w:proofErr w:type="spellStart"/>
      <w:r w:rsidRPr="00257F7A">
        <w:rPr>
          <w:color w:val="000000"/>
        </w:rPr>
        <w:t>Doane</w:t>
      </w:r>
      <w:proofErr w:type="spellEnd"/>
      <w:r w:rsidRPr="00257F7A">
        <w:rPr>
          <w:color w:val="000000"/>
        </w:rPr>
        <w:t xml:space="preserve">, L. D., &amp; Eisenberg, N. (2014). Transitioning </w:t>
      </w:r>
      <w:r w:rsidR="00BC082F">
        <w:rPr>
          <w:color w:val="000000"/>
        </w:rPr>
        <w:t>f</w:t>
      </w:r>
      <w:r w:rsidRPr="00257F7A">
        <w:rPr>
          <w:color w:val="000000"/>
        </w:rPr>
        <w:t xml:space="preserve">rom </w:t>
      </w:r>
      <w:r w:rsidR="00BC082F">
        <w:rPr>
          <w:color w:val="000000"/>
        </w:rPr>
        <w:t>h</w:t>
      </w:r>
      <w:r w:rsidRPr="00257F7A">
        <w:rPr>
          <w:color w:val="000000"/>
        </w:rPr>
        <w:t xml:space="preserve">igh </w:t>
      </w:r>
      <w:r w:rsidR="00BC082F">
        <w:rPr>
          <w:color w:val="000000"/>
        </w:rPr>
        <w:t>s</w:t>
      </w:r>
      <w:r w:rsidRPr="00257F7A">
        <w:rPr>
          <w:color w:val="000000"/>
        </w:rPr>
        <w:t xml:space="preserve">chool to </w:t>
      </w:r>
      <w:r w:rsidR="00BC082F">
        <w:rPr>
          <w:color w:val="000000"/>
        </w:rPr>
        <w:t>c</w:t>
      </w:r>
      <w:r w:rsidRPr="00257F7A">
        <w:rPr>
          <w:color w:val="000000"/>
        </w:rPr>
        <w:t xml:space="preserve">ollege: Relations of </w:t>
      </w:r>
      <w:r w:rsidR="00BC082F">
        <w:rPr>
          <w:color w:val="000000"/>
        </w:rPr>
        <w:t>s</w:t>
      </w:r>
      <w:r w:rsidRPr="00257F7A">
        <w:rPr>
          <w:color w:val="000000"/>
        </w:rPr>
        <w:t xml:space="preserve">ocial </w:t>
      </w:r>
      <w:r w:rsidR="00BC082F">
        <w:rPr>
          <w:color w:val="000000"/>
        </w:rPr>
        <w:t>s</w:t>
      </w:r>
      <w:r w:rsidRPr="00257F7A">
        <w:rPr>
          <w:color w:val="000000"/>
        </w:rPr>
        <w:t xml:space="preserve">upport, </w:t>
      </w:r>
      <w:r w:rsidR="00BC082F">
        <w:rPr>
          <w:color w:val="000000"/>
        </w:rPr>
        <w:t>e</w:t>
      </w:r>
      <w:r w:rsidRPr="00257F7A">
        <w:rPr>
          <w:color w:val="000000"/>
        </w:rPr>
        <w:t>go-</w:t>
      </w:r>
      <w:r w:rsidR="00BC082F">
        <w:rPr>
          <w:color w:val="000000"/>
        </w:rPr>
        <w:t>r</w:t>
      </w:r>
      <w:r w:rsidRPr="00257F7A">
        <w:rPr>
          <w:color w:val="000000"/>
        </w:rPr>
        <w:t xml:space="preserve">esiliency, and </w:t>
      </w:r>
      <w:r w:rsidR="00BC082F">
        <w:rPr>
          <w:color w:val="000000"/>
        </w:rPr>
        <w:t>m</w:t>
      </w:r>
      <w:r w:rsidRPr="00257F7A">
        <w:rPr>
          <w:color w:val="000000"/>
        </w:rPr>
        <w:t xml:space="preserve">aladjustment </w:t>
      </w:r>
      <w:r w:rsidR="00BC082F">
        <w:rPr>
          <w:color w:val="000000"/>
        </w:rPr>
        <w:t>d</w:t>
      </w:r>
      <w:r w:rsidRPr="00257F7A">
        <w:rPr>
          <w:color w:val="000000"/>
        </w:rPr>
        <w:t xml:space="preserve">uring </w:t>
      </w:r>
      <w:r w:rsidR="00BC082F">
        <w:rPr>
          <w:color w:val="000000"/>
        </w:rPr>
        <w:t>e</w:t>
      </w:r>
      <w:r w:rsidRPr="00257F7A">
        <w:rPr>
          <w:color w:val="000000"/>
        </w:rPr>
        <w:t>merging</w:t>
      </w:r>
      <w:r w:rsidR="007203E6">
        <w:rPr>
          <w:color w:val="000000"/>
        </w:rPr>
        <w:t xml:space="preserve"> </w:t>
      </w:r>
      <w:r w:rsidR="00BC082F">
        <w:rPr>
          <w:color w:val="000000"/>
        </w:rPr>
        <w:t>a</w:t>
      </w:r>
      <w:r w:rsidRPr="00257F7A">
        <w:rPr>
          <w:color w:val="000000"/>
        </w:rPr>
        <w:t xml:space="preserve">dulthood. </w:t>
      </w:r>
      <w:r w:rsidRPr="00257F7A">
        <w:rPr>
          <w:i/>
          <w:iCs/>
          <w:color w:val="000000"/>
        </w:rPr>
        <w:t>Emerging Adulthood</w:t>
      </w:r>
      <w:r w:rsidRPr="00257F7A">
        <w:rPr>
          <w:color w:val="000000"/>
        </w:rPr>
        <w:t xml:space="preserve">, </w:t>
      </w:r>
      <w:r w:rsidRPr="00257F7A">
        <w:rPr>
          <w:i/>
          <w:iCs/>
          <w:color w:val="000000"/>
        </w:rPr>
        <w:t>2</w:t>
      </w:r>
      <w:r w:rsidRPr="00257F7A">
        <w:rPr>
          <w:color w:val="000000"/>
        </w:rPr>
        <w:t>(2), 105–115.</w:t>
      </w:r>
      <w:r w:rsidR="007203E6">
        <w:rPr>
          <w:color w:val="000000"/>
        </w:rPr>
        <w:t xml:space="preserve"> </w:t>
      </w:r>
      <w:hyperlink r:id="rId79" w:history="1">
        <w:r w:rsidR="007203E6" w:rsidRPr="00BF01B9">
          <w:rPr>
            <w:rStyle w:val="Hyperlink"/>
          </w:rPr>
          <w:t>https://doi.org/10.1177/2167696813506885</w:t>
        </w:r>
      </w:hyperlink>
      <w:r w:rsidR="007203E6">
        <w:rPr>
          <w:color w:val="000000"/>
        </w:rPr>
        <w:t xml:space="preserve"> </w:t>
      </w:r>
    </w:p>
    <w:p w14:paraId="76CCD275" w14:textId="0FD525E9" w:rsidR="0061768F" w:rsidRPr="0061768F" w:rsidRDefault="0061768F" w:rsidP="0061768F">
      <w:pPr>
        <w:pStyle w:val="NormalWeb"/>
        <w:tabs>
          <w:tab w:val="left" w:pos="360"/>
        </w:tabs>
        <w:ind w:left="360" w:hanging="360"/>
        <w:rPr>
          <w:color w:val="000000"/>
        </w:rPr>
      </w:pPr>
      <w:proofErr w:type="spellStart"/>
      <w:r w:rsidRPr="0061768F">
        <w:rPr>
          <w:color w:val="000000"/>
          <w:highlight w:val="yellow"/>
        </w:rPr>
        <w:t>Thiem</w:t>
      </w:r>
      <w:proofErr w:type="spellEnd"/>
      <w:r w:rsidRPr="0061768F">
        <w:rPr>
          <w:color w:val="000000"/>
          <w:highlight w:val="yellow"/>
        </w:rPr>
        <w:t xml:space="preserve">, K. C., &amp; Dasgupta, N. (2022). From </w:t>
      </w:r>
      <w:r w:rsidR="004C480D">
        <w:rPr>
          <w:color w:val="000000"/>
          <w:highlight w:val="yellow"/>
        </w:rPr>
        <w:t>p</w:t>
      </w:r>
      <w:r w:rsidRPr="0061768F">
        <w:rPr>
          <w:color w:val="000000"/>
          <w:highlight w:val="yellow"/>
        </w:rPr>
        <w:t xml:space="preserve">recollege to </w:t>
      </w:r>
      <w:r w:rsidR="004C480D">
        <w:rPr>
          <w:color w:val="000000"/>
          <w:highlight w:val="yellow"/>
        </w:rPr>
        <w:t>c</w:t>
      </w:r>
      <w:r w:rsidRPr="0061768F">
        <w:rPr>
          <w:color w:val="000000"/>
          <w:highlight w:val="yellow"/>
        </w:rPr>
        <w:t xml:space="preserve">areer: Barriers </w:t>
      </w:r>
      <w:r w:rsidR="004C480D">
        <w:rPr>
          <w:color w:val="000000"/>
          <w:highlight w:val="yellow"/>
        </w:rPr>
        <w:t>f</w:t>
      </w:r>
      <w:r w:rsidRPr="0061768F">
        <w:rPr>
          <w:color w:val="000000"/>
          <w:highlight w:val="yellow"/>
        </w:rPr>
        <w:t xml:space="preserve">acing </w:t>
      </w:r>
      <w:r w:rsidR="004C480D">
        <w:rPr>
          <w:color w:val="000000"/>
          <w:highlight w:val="yellow"/>
        </w:rPr>
        <w:t>h</w:t>
      </w:r>
      <w:r w:rsidRPr="0061768F">
        <w:rPr>
          <w:color w:val="000000"/>
          <w:highlight w:val="yellow"/>
        </w:rPr>
        <w:t xml:space="preserve">istorically </w:t>
      </w:r>
      <w:r w:rsidR="004C480D">
        <w:rPr>
          <w:color w:val="000000"/>
          <w:highlight w:val="yellow"/>
        </w:rPr>
        <w:t>m</w:t>
      </w:r>
      <w:r w:rsidRPr="0061768F">
        <w:rPr>
          <w:color w:val="000000"/>
          <w:highlight w:val="yellow"/>
        </w:rPr>
        <w:t xml:space="preserve">arginalized </w:t>
      </w:r>
      <w:r w:rsidR="004C480D">
        <w:rPr>
          <w:color w:val="000000"/>
          <w:highlight w:val="yellow"/>
        </w:rPr>
        <w:t>s</w:t>
      </w:r>
      <w:r w:rsidRPr="0061768F">
        <w:rPr>
          <w:color w:val="000000"/>
          <w:highlight w:val="yellow"/>
        </w:rPr>
        <w:t xml:space="preserve">tudents and </w:t>
      </w:r>
      <w:r w:rsidR="004C480D">
        <w:rPr>
          <w:color w:val="000000"/>
          <w:highlight w:val="yellow"/>
        </w:rPr>
        <w:t>e</w:t>
      </w:r>
      <w:r w:rsidRPr="0061768F">
        <w:rPr>
          <w:color w:val="000000"/>
          <w:highlight w:val="yellow"/>
        </w:rPr>
        <w:t>vidence‐</w:t>
      </w:r>
      <w:r w:rsidR="004C480D">
        <w:rPr>
          <w:color w:val="000000"/>
          <w:highlight w:val="yellow"/>
        </w:rPr>
        <w:t>b</w:t>
      </w:r>
      <w:r w:rsidRPr="0061768F">
        <w:rPr>
          <w:color w:val="000000"/>
          <w:highlight w:val="yellow"/>
        </w:rPr>
        <w:t xml:space="preserve">ased </w:t>
      </w:r>
      <w:r w:rsidR="004C480D">
        <w:rPr>
          <w:color w:val="000000"/>
          <w:highlight w:val="yellow"/>
        </w:rPr>
        <w:t>s</w:t>
      </w:r>
      <w:r w:rsidRPr="0061768F">
        <w:rPr>
          <w:color w:val="000000"/>
          <w:highlight w:val="yellow"/>
        </w:rPr>
        <w:t>olutions. </w:t>
      </w:r>
      <w:r w:rsidRPr="0061768F">
        <w:rPr>
          <w:i/>
          <w:iCs/>
          <w:color w:val="000000"/>
          <w:highlight w:val="yellow"/>
        </w:rPr>
        <w:t>Social Issues and Policy Review</w:t>
      </w:r>
      <w:r w:rsidRPr="0061768F">
        <w:rPr>
          <w:color w:val="000000"/>
          <w:highlight w:val="yellow"/>
        </w:rPr>
        <w:t>, </w:t>
      </w:r>
      <w:r w:rsidRPr="0061768F">
        <w:rPr>
          <w:i/>
          <w:iCs/>
          <w:color w:val="000000"/>
          <w:highlight w:val="yellow"/>
        </w:rPr>
        <w:t>16</w:t>
      </w:r>
      <w:r w:rsidRPr="0061768F">
        <w:rPr>
          <w:color w:val="000000"/>
          <w:highlight w:val="yellow"/>
        </w:rPr>
        <w:t xml:space="preserve">(1), 212-251. </w:t>
      </w:r>
      <w:hyperlink r:id="rId80" w:history="1">
        <w:r w:rsidRPr="0061768F">
          <w:rPr>
            <w:rStyle w:val="Hyperlink"/>
            <w:highlight w:val="yellow"/>
          </w:rPr>
          <w:t>https://doi.org/10.1111/sipr.12085</w:t>
        </w:r>
      </w:hyperlink>
    </w:p>
    <w:p w14:paraId="27D2DC66" w14:textId="31AB5BDC" w:rsidR="006E6F08" w:rsidRDefault="006E6F08" w:rsidP="006D50C3">
      <w:pPr>
        <w:pStyle w:val="NormalWeb"/>
        <w:tabs>
          <w:tab w:val="left" w:pos="360"/>
        </w:tabs>
        <w:spacing w:before="0" w:beforeAutospacing="0" w:after="0" w:afterAutospacing="0"/>
        <w:ind w:left="360" w:hanging="360"/>
        <w:rPr>
          <w:color w:val="000000"/>
        </w:rPr>
      </w:pPr>
      <w:proofErr w:type="spellStart"/>
      <w:r w:rsidRPr="00257F7A">
        <w:rPr>
          <w:color w:val="000000"/>
        </w:rPr>
        <w:t>Trolian</w:t>
      </w:r>
      <w:proofErr w:type="spellEnd"/>
      <w:r w:rsidRPr="00257F7A">
        <w:rPr>
          <w:color w:val="000000"/>
        </w:rPr>
        <w:t xml:space="preserve">, T. L., </w:t>
      </w:r>
      <w:proofErr w:type="spellStart"/>
      <w:r w:rsidRPr="00257F7A">
        <w:rPr>
          <w:color w:val="000000"/>
        </w:rPr>
        <w:t>Jach</w:t>
      </w:r>
      <w:proofErr w:type="spellEnd"/>
      <w:r w:rsidRPr="00257F7A">
        <w:rPr>
          <w:color w:val="000000"/>
        </w:rPr>
        <w:t xml:space="preserve">, E. A., Hanson, J. M., &amp; Pascarella, E. T. (2016). Influencing </w:t>
      </w:r>
      <w:r w:rsidR="00BC082F">
        <w:rPr>
          <w:color w:val="000000"/>
        </w:rPr>
        <w:t>a</w:t>
      </w:r>
      <w:r w:rsidRPr="00257F7A">
        <w:rPr>
          <w:color w:val="000000"/>
        </w:rPr>
        <w:t xml:space="preserve">cademic </w:t>
      </w:r>
      <w:r w:rsidR="00BC082F">
        <w:rPr>
          <w:color w:val="000000"/>
        </w:rPr>
        <w:t>m</w:t>
      </w:r>
      <w:r w:rsidRPr="00257F7A">
        <w:rPr>
          <w:color w:val="000000"/>
        </w:rPr>
        <w:t xml:space="preserve">otivation: The </w:t>
      </w:r>
      <w:r w:rsidR="00BC082F">
        <w:rPr>
          <w:color w:val="000000"/>
        </w:rPr>
        <w:t>e</w:t>
      </w:r>
      <w:r w:rsidRPr="00257F7A">
        <w:rPr>
          <w:color w:val="000000"/>
        </w:rPr>
        <w:t xml:space="preserve">ffects of </w:t>
      </w:r>
      <w:r w:rsidR="00BC082F">
        <w:rPr>
          <w:color w:val="000000"/>
        </w:rPr>
        <w:t>s</w:t>
      </w:r>
      <w:r w:rsidRPr="00257F7A">
        <w:rPr>
          <w:color w:val="000000"/>
        </w:rPr>
        <w:t>tudent–</w:t>
      </w:r>
      <w:r w:rsidR="00BC082F">
        <w:rPr>
          <w:color w:val="000000"/>
        </w:rPr>
        <w:t>f</w:t>
      </w:r>
      <w:r w:rsidRPr="00257F7A">
        <w:rPr>
          <w:color w:val="000000"/>
        </w:rPr>
        <w:t xml:space="preserve">aculty </w:t>
      </w:r>
      <w:r w:rsidR="00BC082F">
        <w:rPr>
          <w:color w:val="000000"/>
        </w:rPr>
        <w:t>i</w:t>
      </w:r>
      <w:r w:rsidRPr="00257F7A">
        <w:rPr>
          <w:color w:val="000000"/>
        </w:rPr>
        <w:t xml:space="preserve">nteraction. </w:t>
      </w:r>
      <w:r w:rsidRPr="00257F7A">
        <w:rPr>
          <w:i/>
          <w:iCs/>
          <w:color w:val="000000"/>
        </w:rPr>
        <w:t>Journal of College Student</w:t>
      </w:r>
      <w:r w:rsidR="007203E6">
        <w:rPr>
          <w:i/>
          <w:iCs/>
          <w:color w:val="000000"/>
        </w:rPr>
        <w:t xml:space="preserve"> </w:t>
      </w:r>
      <w:r w:rsidRPr="00257F7A">
        <w:rPr>
          <w:i/>
          <w:iCs/>
          <w:color w:val="000000"/>
        </w:rPr>
        <w:t>Development</w:t>
      </w:r>
      <w:r w:rsidRPr="00257F7A">
        <w:rPr>
          <w:color w:val="000000"/>
        </w:rPr>
        <w:t xml:space="preserve">, </w:t>
      </w:r>
      <w:r w:rsidRPr="00257F7A">
        <w:rPr>
          <w:i/>
          <w:iCs/>
          <w:color w:val="000000"/>
        </w:rPr>
        <w:t>57</w:t>
      </w:r>
      <w:r w:rsidRPr="00257F7A">
        <w:rPr>
          <w:color w:val="000000"/>
        </w:rPr>
        <w:t xml:space="preserve">(7), 810–826. </w:t>
      </w:r>
      <w:hyperlink r:id="rId81" w:history="1">
        <w:r w:rsidR="00D42FC0" w:rsidRPr="00126DCE">
          <w:rPr>
            <w:rStyle w:val="Hyperlink"/>
          </w:rPr>
          <w:t>https://doi.org/10.1353/csd.2016.0080</w:t>
        </w:r>
      </w:hyperlink>
    </w:p>
    <w:p w14:paraId="17B927CD" w14:textId="77777777" w:rsidR="00D42FC0" w:rsidRPr="00257F7A" w:rsidRDefault="00D42FC0" w:rsidP="0092131C">
      <w:pPr>
        <w:pStyle w:val="NormalWeb"/>
        <w:tabs>
          <w:tab w:val="left" w:pos="360"/>
        </w:tabs>
        <w:spacing w:before="0" w:beforeAutospacing="0" w:after="0" w:afterAutospacing="0"/>
      </w:pPr>
    </w:p>
    <w:p w14:paraId="32DA2F27" w14:textId="464EF2E4" w:rsidR="00281D02" w:rsidRPr="0077502D" w:rsidRDefault="00281D02" w:rsidP="00281D02">
      <w:pPr>
        <w:tabs>
          <w:tab w:val="left" w:pos="360"/>
        </w:tabs>
        <w:ind w:left="360" w:hanging="360"/>
      </w:pPr>
      <w:r w:rsidRPr="00281D02">
        <w:rPr>
          <w:highlight w:val="yellow"/>
        </w:rPr>
        <w:t xml:space="preserve">Wang, X., Hegde, S., Son, C., Keller, B., Smith, A., &amp; </w:t>
      </w:r>
      <w:proofErr w:type="spellStart"/>
      <w:r w:rsidRPr="00281D02">
        <w:rPr>
          <w:highlight w:val="yellow"/>
        </w:rPr>
        <w:t>Sasangohar</w:t>
      </w:r>
      <w:proofErr w:type="spellEnd"/>
      <w:r w:rsidRPr="00281D02">
        <w:rPr>
          <w:highlight w:val="yellow"/>
        </w:rPr>
        <w:t xml:space="preserve">, F. (2020). Investigating mental health of US college students during the COVID-19 pandemic: </w:t>
      </w:r>
      <w:r>
        <w:rPr>
          <w:highlight w:val="yellow"/>
        </w:rPr>
        <w:t>C</w:t>
      </w:r>
      <w:r w:rsidRPr="00281D02">
        <w:rPr>
          <w:highlight w:val="yellow"/>
        </w:rPr>
        <w:t>ross-sectional survey study. </w:t>
      </w:r>
      <w:r w:rsidRPr="00281D02">
        <w:rPr>
          <w:i/>
          <w:iCs/>
          <w:highlight w:val="yellow"/>
        </w:rPr>
        <w:t xml:space="preserve">Journal of </w:t>
      </w:r>
      <w:r>
        <w:rPr>
          <w:i/>
          <w:iCs/>
          <w:highlight w:val="yellow"/>
        </w:rPr>
        <w:t>M</w:t>
      </w:r>
      <w:r w:rsidRPr="00281D02">
        <w:rPr>
          <w:i/>
          <w:iCs/>
          <w:highlight w:val="yellow"/>
        </w:rPr>
        <w:t xml:space="preserve">edical Internet </w:t>
      </w:r>
      <w:r>
        <w:rPr>
          <w:i/>
          <w:iCs/>
          <w:highlight w:val="yellow"/>
        </w:rPr>
        <w:t>R</w:t>
      </w:r>
      <w:r w:rsidRPr="00281D02">
        <w:rPr>
          <w:i/>
          <w:iCs/>
          <w:highlight w:val="yellow"/>
        </w:rPr>
        <w:t>esearch</w:t>
      </w:r>
      <w:r w:rsidRPr="00281D02">
        <w:rPr>
          <w:highlight w:val="yellow"/>
        </w:rPr>
        <w:t>, </w:t>
      </w:r>
      <w:r w:rsidRPr="00281D02">
        <w:rPr>
          <w:i/>
          <w:iCs/>
          <w:highlight w:val="yellow"/>
        </w:rPr>
        <w:t>22</w:t>
      </w:r>
      <w:r w:rsidRPr="00281D02">
        <w:rPr>
          <w:highlight w:val="yellow"/>
        </w:rPr>
        <w:t>(9), e22817.</w:t>
      </w:r>
      <w:r>
        <w:t xml:space="preserve"> </w:t>
      </w:r>
      <w:hyperlink r:id="rId82" w:history="1">
        <w:r w:rsidRPr="00322012">
          <w:rPr>
            <w:rStyle w:val="Hyperlink"/>
          </w:rPr>
          <w:t>http://www.jmir.org/2020/9/e22817/</w:t>
        </w:r>
      </w:hyperlink>
      <w:r>
        <w:t xml:space="preserve"> </w:t>
      </w:r>
    </w:p>
    <w:p w14:paraId="4AFDA71F" w14:textId="77777777" w:rsidR="00281D02" w:rsidRDefault="00281D02" w:rsidP="006D50C3">
      <w:pPr>
        <w:pStyle w:val="NormalWeb"/>
        <w:tabs>
          <w:tab w:val="left" w:pos="360"/>
        </w:tabs>
        <w:spacing w:before="0" w:beforeAutospacing="0" w:after="0" w:afterAutospacing="0"/>
        <w:ind w:left="360" w:hanging="360"/>
        <w:rPr>
          <w:color w:val="000000"/>
        </w:rPr>
      </w:pPr>
    </w:p>
    <w:p w14:paraId="3655C9F7" w14:textId="774FC9CD" w:rsidR="006E6F08" w:rsidRDefault="006E6F08" w:rsidP="006D50C3">
      <w:pPr>
        <w:pStyle w:val="NormalWeb"/>
        <w:tabs>
          <w:tab w:val="left" w:pos="360"/>
        </w:tabs>
        <w:spacing w:before="0" w:beforeAutospacing="0" w:after="0" w:afterAutospacing="0"/>
        <w:ind w:left="360" w:hanging="360"/>
      </w:pPr>
      <w:r w:rsidRPr="00257F7A">
        <w:rPr>
          <w:color w:val="000000"/>
        </w:rPr>
        <w:t xml:space="preserve">Wright, J. I., </w:t>
      </w:r>
      <w:proofErr w:type="spellStart"/>
      <w:r w:rsidRPr="00257F7A">
        <w:rPr>
          <w:color w:val="000000"/>
        </w:rPr>
        <w:t>Whyne</w:t>
      </w:r>
      <w:proofErr w:type="spellEnd"/>
      <w:r w:rsidRPr="00257F7A">
        <w:rPr>
          <w:color w:val="000000"/>
        </w:rPr>
        <w:t>, E. Z., Lehrer, H. M., Woo, J., &amp; Steinhardt, M. A. (2021). The roles of resilience and belonging in mediating the association between positivity and anxiety</w:t>
      </w:r>
      <w:r w:rsidR="007203E6">
        <w:rPr>
          <w:color w:val="000000"/>
        </w:rPr>
        <w:t xml:space="preserve"> </w:t>
      </w:r>
      <w:r w:rsidRPr="00257F7A">
        <w:rPr>
          <w:color w:val="000000"/>
        </w:rPr>
        <w:t xml:space="preserve">among underrepresented college students. </w:t>
      </w:r>
      <w:r w:rsidRPr="00257F7A">
        <w:rPr>
          <w:i/>
          <w:iCs/>
          <w:color w:val="000000"/>
        </w:rPr>
        <w:t>Journal of American College Health</w:t>
      </w:r>
      <w:r w:rsidRPr="00257F7A">
        <w:rPr>
          <w:color w:val="000000"/>
        </w:rPr>
        <w:t>, 1–7.</w:t>
      </w:r>
      <w:r w:rsidR="007203E6">
        <w:rPr>
          <w:color w:val="000000"/>
        </w:rPr>
        <w:t xml:space="preserve"> </w:t>
      </w:r>
      <w:hyperlink r:id="rId83" w:history="1">
        <w:r w:rsidR="007203E6" w:rsidRPr="00BF01B9">
          <w:rPr>
            <w:rStyle w:val="Hyperlink"/>
          </w:rPr>
          <w:t>https://doi.org/10.1080/07448481.2020.1851235</w:t>
        </w:r>
      </w:hyperlink>
    </w:p>
    <w:p w14:paraId="7DCFA671" w14:textId="77777777" w:rsidR="00281D02" w:rsidRDefault="00281D02" w:rsidP="006D50C3">
      <w:pPr>
        <w:pStyle w:val="NormalWeb"/>
        <w:tabs>
          <w:tab w:val="left" w:pos="360"/>
        </w:tabs>
        <w:spacing w:before="0" w:beforeAutospacing="0" w:after="0" w:afterAutospacing="0"/>
        <w:ind w:left="360" w:hanging="360"/>
        <w:rPr>
          <w:color w:val="000000"/>
        </w:rPr>
      </w:pPr>
    </w:p>
    <w:p w14:paraId="17C46E1C" w14:textId="5DC8DCE8" w:rsidR="000D0285" w:rsidRDefault="000D0285" w:rsidP="006D50C3">
      <w:pPr>
        <w:pStyle w:val="NormalWeb"/>
        <w:tabs>
          <w:tab w:val="left" w:pos="360"/>
        </w:tabs>
        <w:spacing w:before="0" w:beforeAutospacing="0" w:after="0" w:afterAutospacing="0"/>
        <w:ind w:left="360" w:hanging="360"/>
        <w:rPr>
          <w:color w:val="000000"/>
        </w:rPr>
      </w:pPr>
      <w:r w:rsidRPr="00257F7A">
        <w:rPr>
          <w:color w:val="000000"/>
        </w:rPr>
        <w:t xml:space="preserve">Wu, Y., Sang, Z., Zhang, X.-C., &amp; </w:t>
      </w:r>
      <w:proofErr w:type="spellStart"/>
      <w:r w:rsidRPr="00257F7A">
        <w:rPr>
          <w:color w:val="000000"/>
        </w:rPr>
        <w:t>Margraf</w:t>
      </w:r>
      <w:proofErr w:type="spellEnd"/>
      <w:r w:rsidRPr="00257F7A">
        <w:rPr>
          <w:color w:val="000000"/>
        </w:rPr>
        <w:t xml:space="preserve">, J. (2020). The </w:t>
      </w:r>
      <w:r w:rsidR="00535C18">
        <w:rPr>
          <w:color w:val="000000"/>
        </w:rPr>
        <w:t>r</w:t>
      </w:r>
      <w:r w:rsidRPr="00257F7A">
        <w:rPr>
          <w:color w:val="000000"/>
        </w:rPr>
        <w:t xml:space="preserve">elationship </w:t>
      </w:r>
      <w:r w:rsidR="00535C18">
        <w:rPr>
          <w:color w:val="000000"/>
        </w:rPr>
        <w:t>b</w:t>
      </w:r>
      <w:r w:rsidRPr="00257F7A">
        <w:rPr>
          <w:color w:val="000000"/>
        </w:rPr>
        <w:t xml:space="preserve">etween </w:t>
      </w:r>
      <w:r w:rsidR="00535C18">
        <w:rPr>
          <w:color w:val="000000"/>
        </w:rPr>
        <w:t>r</w:t>
      </w:r>
      <w:r w:rsidRPr="00257F7A">
        <w:rPr>
          <w:color w:val="000000"/>
        </w:rPr>
        <w:t>esilience and</w:t>
      </w:r>
      <w:r w:rsidR="007203E6">
        <w:rPr>
          <w:color w:val="000000"/>
        </w:rPr>
        <w:t xml:space="preserve"> </w:t>
      </w:r>
      <w:r w:rsidR="00535C18">
        <w:rPr>
          <w:color w:val="000000"/>
        </w:rPr>
        <w:t>m</w:t>
      </w:r>
      <w:r w:rsidRPr="00257F7A">
        <w:rPr>
          <w:color w:val="000000"/>
        </w:rPr>
        <w:t xml:space="preserve">ental </w:t>
      </w:r>
      <w:r w:rsidR="00535C18">
        <w:rPr>
          <w:color w:val="000000"/>
        </w:rPr>
        <w:t>h</w:t>
      </w:r>
      <w:r w:rsidRPr="00257F7A">
        <w:rPr>
          <w:color w:val="000000"/>
        </w:rPr>
        <w:t xml:space="preserve">ealth in Chinese </w:t>
      </w:r>
      <w:r w:rsidR="00535C18">
        <w:rPr>
          <w:color w:val="000000"/>
        </w:rPr>
        <w:t>c</w:t>
      </w:r>
      <w:r w:rsidRPr="00257F7A">
        <w:rPr>
          <w:color w:val="000000"/>
        </w:rPr>
        <w:t xml:space="preserve">ollege </w:t>
      </w:r>
      <w:r w:rsidR="00535C18">
        <w:rPr>
          <w:color w:val="000000"/>
        </w:rPr>
        <w:t>s</w:t>
      </w:r>
      <w:r w:rsidRPr="00257F7A">
        <w:rPr>
          <w:color w:val="000000"/>
        </w:rPr>
        <w:t xml:space="preserve">tudents: A </w:t>
      </w:r>
      <w:r w:rsidR="00535C18">
        <w:rPr>
          <w:color w:val="000000"/>
        </w:rPr>
        <w:t>l</w:t>
      </w:r>
      <w:r w:rsidRPr="00257F7A">
        <w:rPr>
          <w:color w:val="000000"/>
        </w:rPr>
        <w:t xml:space="preserve">ongitudinal </w:t>
      </w:r>
      <w:r w:rsidR="00535C18">
        <w:rPr>
          <w:color w:val="000000"/>
        </w:rPr>
        <w:t>c</w:t>
      </w:r>
      <w:r w:rsidRPr="00257F7A">
        <w:rPr>
          <w:color w:val="000000"/>
        </w:rPr>
        <w:t>ross-</w:t>
      </w:r>
      <w:r w:rsidR="00535C18">
        <w:rPr>
          <w:color w:val="000000"/>
        </w:rPr>
        <w:t>l</w:t>
      </w:r>
      <w:r w:rsidRPr="00257F7A">
        <w:rPr>
          <w:color w:val="000000"/>
        </w:rPr>
        <w:t xml:space="preserve">agged </w:t>
      </w:r>
      <w:r w:rsidR="00535C18">
        <w:rPr>
          <w:color w:val="000000"/>
        </w:rPr>
        <w:t>a</w:t>
      </w:r>
      <w:r w:rsidRPr="00257F7A">
        <w:rPr>
          <w:color w:val="000000"/>
        </w:rPr>
        <w:t xml:space="preserve">nalysis. </w:t>
      </w:r>
      <w:r w:rsidRPr="00257F7A">
        <w:rPr>
          <w:i/>
          <w:iCs/>
          <w:color w:val="000000"/>
        </w:rPr>
        <w:t>Frontiers in Psychology</w:t>
      </w:r>
      <w:r w:rsidRPr="00257F7A">
        <w:rPr>
          <w:color w:val="000000"/>
        </w:rPr>
        <w:t xml:space="preserve">, </w:t>
      </w:r>
      <w:r w:rsidRPr="00257F7A">
        <w:rPr>
          <w:i/>
          <w:iCs/>
          <w:color w:val="000000"/>
        </w:rPr>
        <w:t>11</w:t>
      </w:r>
      <w:r w:rsidRPr="00257F7A">
        <w:rPr>
          <w:color w:val="000000"/>
        </w:rPr>
        <w:t xml:space="preserve">, 108. </w:t>
      </w:r>
      <w:hyperlink r:id="rId84" w:history="1">
        <w:r w:rsidR="00D42FC0" w:rsidRPr="00126DCE">
          <w:rPr>
            <w:rStyle w:val="Hyperlink"/>
          </w:rPr>
          <w:t>https://doi.org/10.3389/fpsyg.2020.00108</w:t>
        </w:r>
      </w:hyperlink>
    </w:p>
    <w:p w14:paraId="5C348C7C" w14:textId="77777777" w:rsidR="00281D02" w:rsidRDefault="00281D02" w:rsidP="006D50C3">
      <w:pPr>
        <w:pStyle w:val="NormalWeb"/>
        <w:widowControl w:val="0"/>
        <w:tabs>
          <w:tab w:val="left" w:pos="360"/>
        </w:tabs>
        <w:spacing w:before="0" w:beforeAutospacing="0" w:after="0" w:afterAutospacing="0"/>
        <w:ind w:left="360" w:hanging="360"/>
        <w:rPr>
          <w:color w:val="000000"/>
        </w:rPr>
      </w:pPr>
    </w:p>
    <w:p w14:paraId="1F41E478" w14:textId="195E92DB" w:rsidR="00BB5CA0" w:rsidRPr="00064B3D" w:rsidRDefault="006E6F08" w:rsidP="006D50C3">
      <w:pPr>
        <w:pStyle w:val="NormalWeb"/>
        <w:widowControl w:val="0"/>
        <w:tabs>
          <w:tab w:val="left" w:pos="360"/>
        </w:tabs>
        <w:spacing w:before="0" w:beforeAutospacing="0" w:after="0" w:afterAutospacing="0"/>
        <w:ind w:left="360" w:hanging="360"/>
        <w:rPr>
          <w:color w:val="000000"/>
        </w:rPr>
      </w:pPr>
      <w:r w:rsidRPr="00257F7A">
        <w:rPr>
          <w:color w:val="000000"/>
        </w:rPr>
        <w:t xml:space="preserve">Zimmerman, M. A. (2010). Natural </w:t>
      </w:r>
      <w:r w:rsidR="00535C18">
        <w:rPr>
          <w:color w:val="000000"/>
        </w:rPr>
        <w:t>m</w:t>
      </w:r>
      <w:r w:rsidRPr="00257F7A">
        <w:rPr>
          <w:color w:val="000000"/>
        </w:rPr>
        <w:t xml:space="preserve">entors, </w:t>
      </w:r>
      <w:r w:rsidR="00535C18">
        <w:rPr>
          <w:color w:val="000000"/>
        </w:rPr>
        <w:t>m</w:t>
      </w:r>
      <w:r w:rsidRPr="00257F7A">
        <w:rPr>
          <w:color w:val="000000"/>
        </w:rPr>
        <w:t xml:space="preserve">ental </w:t>
      </w:r>
      <w:r w:rsidR="00535C18">
        <w:rPr>
          <w:color w:val="000000"/>
        </w:rPr>
        <w:t>h</w:t>
      </w:r>
      <w:r w:rsidRPr="00257F7A">
        <w:rPr>
          <w:color w:val="000000"/>
        </w:rPr>
        <w:t xml:space="preserve">ealth, and </w:t>
      </w:r>
      <w:r w:rsidR="00535C18">
        <w:rPr>
          <w:color w:val="000000"/>
        </w:rPr>
        <w:t>r</w:t>
      </w:r>
      <w:r w:rsidRPr="00257F7A">
        <w:rPr>
          <w:color w:val="000000"/>
        </w:rPr>
        <w:t xml:space="preserve">isk </w:t>
      </w:r>
      <w:r w:rsidR="00535C18">
        <w:rPr>
          <w:color w:val="000000"/>
        </w:rPr>
        <w:t>b</w:t>
      </w:r>
      <w:r w:rsidRPr="00257F7A">
        <w:rPr>
          <w:color w:val="000000"/>
        </w:rPr>
        <w:t xml:space="preserve">ehaviors: A </w:t>
      </w:r>
      <w:r w:rsidR="00F63BBD" w:rsidRPr="00257F7A">
        <w:rPr>
          <w:color w:val="000000"/>
        </w:rPr>
        <w:tab/>
      </w:r>
      <w:r w:rsidR="00535C18">
        <w:rPr>
          <w:color w:val="000000"/>
        </w:rPr>
        <w:t>l</w:t>
      </w:r>
      <w:r w:rsidRPr="00257F7A">
        <w:rPr>
          <w:color w:val="000000"/>
        </w:rPr>
        <w:t xml:space="preserve">ongitudinal </w:t>
      </w:r>
      <w:r w:rsidR="00535C18">
        <w:rPr>
          <w:color w:val="000000"/>
        </w:rPr>
        <w:t>a</w:t>
      </w:r>
      <w:r w:rsidRPr="00257F7A">
        <w:rPr>
          <w:color w:val="000000"/>
        </w:rPr>
        <w:t xml:space="preserve">nalysis of African American </w:t>
      </w:r>
      <w:r w:rsidR="00535C18">
        <w:rPr>
          <w:color w:val="000000"/>
        </w:rPr>
        <w:t>a</w:t>
      </w:r>
      <w:r w:rsidRPr="00257F7A">
        <w:rPr>
          <w:color w:val="000000"/>
        </w:rPr>
        <w:t xml:space="preserve">dolescents </w:t>
      </w:r>
      <w:r w:rsidR="00535C18">
        <w:rPr>
          <w:color w:val="000000"/>
        </w:rPr>
        <w:t>t</w:t>
      </w:r>
      <w:r w:rsidRPr="00257F7A">
        <w:rPr>
          <w:color w:val="000000"/>
        </w:rPr>
        <w:t xml:space="preserve">ransitioning into </w:t>
      </w:r>
      <w:r w:rsidR="00535C18">
        <w:rPr>
          <w:color w:val="000000"/>
        </w:rPr>
        <w:t>a</w:t>
      </w:r>
      <w:r w:rsidRPr="00257F7A">
        <w:rPr>
          <w:color w:val="000000"/>
        </w:rPr>
        <w:t xml:space="preserve">dulthood. </w:t>
      </w:r>
      <w:r w:rsidRPr="00257F7A">
        <w:rPr>
          <w:i/>
          <w:iCs/>
          <w:color w:val="000000"/>
        </w:rPr>
        <w:t>American Journal</w:t>
      </w:r>
      <w:r w:rsidR="007203E6">
        <w:rPr>
          <w:i/>
          <w:iCs/>
          <w:color w:val="000000"/>
        </w:rPr>
        <w:t xml:space="preserve"> </w:t>
      </w:r>
      <w:r w:rsidRPr="00257F7A">
        <w:rPr>
          <w:i/>
          <w:iCs/>
          <w:color w:val="000000"/>
        </w:rPr>
        <w:t>of Community Psychology</w:t>
      </w:r>
      <w:r w:rsidRPr="00257F7A">
        <w:rPr>
          <w:color w:val="000000"/>
        </w:rPr>
        <w:t xml:space="preserve">, </w:t>
      </w:r>
      <w:r w:rsidRPr="00257F7A">
        <w:rPr>
          <w:i/>
          <w:iCs/>
          <w:color w:val="000000"/>
        </w:rPr>
        <w:t>46</w:t>
      </w:r>
      <w:r w:rsidRPr="00257F7A">
        <w:rPr>
          <w:color w:val="000000"/>
        </w:rPr>
        <w:t>(1–2), 36–48.</w:t>
      </w:r>
      <w:r w:rsidR="007203E6">
        <w:rPr>
          <w:color w:val="000000"/>
        </w:rPr>
        <w:t xml:space="preserve"> </w:t>
      </w:r>
      <w:hyperlink r:id="rId85" w:history="1">
        <w:r w:rsidR="007203E6" w:rsidRPr="00BF01B9">
          <w:rPr>
            <w:rStyle w:val="Hyperlink"/>
          </w:rPr>
          <w:t>https://doi.org/10.1007/s10464-010-9325-x</w:t>
        </w:r>
      </w:hyperlink>
      <w:bookmarkEnd w:id="0"/>
    </w:p>
    <w:sectPr w:rsidR="00BB5CA0" w:rsidRPr="00064B3D" w:rsidSect="001B306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AE3B" w14:textId="77777777" w:rsidR="005372A0" w:rsidRDefault="005372A0" w:rsidP="000A7581">
      <w:r>
        <w:separator/>
      </w:r>
    </w:p>
  </w:endnote>
  <w:endnote w:type="continuationSeparator" w:id="0">
    <w:p w14:paraId="1D6BCF50" w14:textId="77777777" w:rsidR="005372A0" w:rsidRDefault="005372A0" w:rsidP="000A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_]ó±ò">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909461"/>
      <w:docPartObj>
        <w:docPartGallery w:val="Page Numbers (Bottom of Page)"/>
        <w:docPartUnique/>
      </w:docPartObj>
    </w:sdtPr>
    <w:sdtContent>
      <w:p w14:paraId="5931D825" w14:textId="280B8895" w:rsidR="006E572C" w:rsidRDefault="006E572C" w:rsidP="006E57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9A0155" w14:textId="77777777" w:rsidR="006E572C" w:rsidRDefault="006E572C" w:rsidP="000A75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6C40E" w14:textId="77777777" w:rsidR="006E572C" w:rsidRDefault="006E572C" w:rsidP="000A75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F3DD" w14:textId="77777777" w:rsidR="005372A0" w:rsidRDefault="005372A0" w:rsidP="000A7581">
      <w:r>
        <w:separator/>
      </w:r>
    </w:p>
  </w:footnote>
  <w:footnote w:type="continuationSeparator" w:id="0">
    <w:p w14:paraId="4B7FAEDB" w14:textId="77777777" w:rsidR="005372A0" w:rsidRDefault="005372A0" w:rsidP="000A7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43073"/>
      <w:docPartObj>
        <w:docPartGallery w:val="Page Numbers (Top of Page)"/>
        <w:docPartUnique/>
      </w:docPartObj>
    </w:sdtPr>
    <w:sdtEndPr>
      <w:rPr>
        <w:noProof/>
      </w:rPr>
    </w:sdtEndPr>
    <w:sdtContent>
      <w:p w14:paraId="22E29622" w14:textId="2C2BB306" w:rsidR="006E572C" w:rsidRDefault="006E57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B099EE" w14:textId="77777777" w:rsidR="006E572C" w:rsidRDefault="006E5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003959"/>
      <w:docPartObj>
        <w:docPartGallery w:val="Page Numbers (Top of Page)"/>
        <w:docPartUnique/>
      </w:docPartObj>
    </w:sdtPr>
    <w:sdtEndPr>
      <w:rPr>
        <w:noProof/>
      </w:rPr>
    </w:sdtEndPr>
    <w:sdtContent>
      <w:p w14:paraId="44F67753" w14:textId="1A6E40BD" w:rsidR="006E572C" w:rsidRDefault="006E572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1ABD82" w14:textId="77777777" w:rsidR="006E572C" w:rsidRDefault="006E5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3A45"/>
    <w:multiLevelType w:val="hybridMultilevel"/>
    <w:tmpl w:val="4DA88904"/>
    <w:lvl w:ilvl="0" w:tplc="B2C4841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F95165"/>
    <w:multiLevelType w:val="hybridMultilevel"/>
    <w:tmpl w:val="9CBEC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3163A"/>
    <w:multiLevelType w:val="multilevel"/>
    <w:tmpl w:val="EA2E7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B6CBF"/>
    <w:multiLevelType w:val="multilevel"/>
    <w:tmpl w:val="3FD8C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87923"/>
    <w:multiLevelType w:val="multilevel"/>
    <w:tmpl w:val="01BC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057386"/>
    <w:multiLevelType w:val="multilevel"/>
    <w:tmpl w:val="6AAC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180930">
    <w:abstractNumId w:val="2"/>
  </w:num>
  <w:num w:numId="2" w16cid:durableId="114180837">
    <w:abstractNumId w:val="1"/>
  </w:num>
  <w:num w:numId="3" w16cid:durableId="1062873026">
    <w:abstractNumId w:val="0"/>
  </w:num>
  <w:num w:numId="4" w16cid:durableId="317198980">
    <w:abstractNumId w:val="5"/>
  </w:num>
  <w:num w:numId="5" w16cid:durableId="1064067671">
    <w:abstractNumId w:val="3"/>
  </w:num>
  <w:num w:numId="6" w16cid:durableId="832063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C3MDSzNDMwNTcwMTRX0lEKTi0uzszPAykwrAUAdqytVSwAAAA="/>
  </w:docVars>
  <w:rsids>
    <w:rsidRoot w:val="000F76DB"/>
    <w:rsid w:val="00000055"/>
    <w:rsid w:val="00000643"/>
    <w:rsid w:val="00000FB6"/>
    <w:rsid w:val="0000234B"/>
    <w:rsid w:val="000038AB"/>
    <w:rsid w:val="00003BED"/>
    <w:rsid w:val="00004613"/>
    <w:rsid w:val="00004B20"/>
    <w:rsid w:val="000054A9"/>
    <w:rsid w:val="000059EA"/>
    <w:rsid w:val="00006E83"/>
    <w:rsid w:val="00010BDF"/>
    <w:rsid w:val="00011647"/>
    <w:rsid w:val="00011F9C"/>
    <w:rsid w:val="00012380"/>
    <w:rsid w:val="00012B3B"/>
    <w:rsid w:val="000139CF"/>
    <w:rsid w:val="00014335"/>
    <w:rsid w:val="000145CE"/>
    <w:rsid w:val="000146D1"/>
    <w:rsid w:val="00014821"/>
    <w:rsid w:val="00016E3E"/>
    <w:rsid w:val="00020159"/>
    <w:rsid w:val="00020F16"/>
    <w:rsid w:val="00021FAD"/>
    <w:rsid w:val="00022341"/>
    <w:rsid w:val="00023183"/>
    <w:rsid w:val="000247A2"/>
    <w:rsid w:val="00024E71"/>
    <w:rsid w:val="00027180"/>
    <w:rsid w:val="0003090A"/>
    <w:rsid w:val="0003149F"/>
    <w:rsid w:val="00031A1E"/>
    <w:rsid w:val="00033317"/>
    <w:rsid w:val="000338AD"/>
    <w:rsid w:val="00033C71"/>
    <w:rsid w:val="00033F56"/>
    <w:rsid w:val="000360A0"/>
    <w:rsid w:val="0003675B"/>
    <w:rsid w:val="00036EBF"/>
    <w:rsid w:val="00037538"/>
    <w:rsid w:val="00040215"/>
    <w:rsid w:val="0004099B"/>
    <w:rsid w:val="00040BF0"/>
    <w:rsid w:val="00041009"/>
    <w:rsid w:val="00041D3F"/>
    <w:rsid w:val="00046F25"/>
    <w:rsid w:val="00047583"/>
    <w:rsid w:val="00047D17"/>
    <w:rsid w:val="000504D1"/>
    <w:rsid w:val="000505BF"/>
    <w:rsid w:val="00053236"/>
    <w:rsid w:val="000544B8"/>
    <w:rsid w:val="00054596"/>
    <w:rsid w:val="000551E6"/>
    <w:rsid w:val="0005538B"/>
    <w:rsid w:val="00055AD6"/>
    <w:rsid w:val="00055EC8"/>
    <w:rsid w:val="000560ED"/>
    <w:rsid w:val="00056DF0"/>
    <w:rsid w:val="00056E0E"/>
    <w:rsid w:val="00057FAC"/>
    <w:rsid w:val="0006000D"/>
    <w:rsid w:val="0006071E"/>
    <w:rsid w:val="00060BA3"/>
    <w:rsid w:val="00060BBA"/>
    <w:rsid w:val="0006100A"/>
    <w:rsid w:val="0006122A"/>
    <w:rsid w:val="000618B6"/>
    <w:rsid w:val="00062129"/>
    <w:rsid w:val="00062429"/>
    <w:rsid w:val="00062D0B"/>
    <w:rsid w:val="00064817"/>
    <w:rsid w:val="00064B3D"/>
    <w:rsid w:val="00065652"/>
    <w:rsid w:val="00067A4B"/>
    <w:rsid w:val="000712EC"/>
    <w:rsid w:val="00071317"/>
    <w:rsid w:val="00071494"/>
    <w:rsid w:val="00071952"/>
    <w:rsid w:val="00071E00"/>
    <w:rsid w:val="00071F5F"/>
    <w:rsid w:val="000732C8"/>
    <w:rsid w:val="000736F3"/>
    <w:rsid w:val="00073E51"/>
    <w:rsid w:val="0007418C"/>
    <w:rsid w:val="00074579"/>
    <w:rsid w:val="00076467"/>
    <w:rsid w:val="0007681B"/>
    <w:rsid w:val="00081A53"/>
    <w:rsid w:val="00082EB7"/>
    <w:rsid w:val="000845B3"/>
    <w:rsid w:val="000850C0"/>
    <w:rsid w:val="00085412"/>
    <w:rsid w:val="0008549E"/>
    <w:rsid w:val="00086F4C"/>
    <w:rsid w:val="00090F7C"/>
    <w:rsid w:val="000910C5"/>
    <w:rsid w:val="00091E3E"/>
    <w:rsid w:val="000923E6"/>
    <w:rsid w:val="0009243B"/>
    <w:rsid w:val="00092CAC"/>
    <w:rsid w:val="00093E81"/>
    <w:rsid w:val="000941C3"/>
    <w:rsid w:val="00095A78"/>
    <w:rsid w:val="00095B21"/>
    <w:rsid w:val="00095B5D"/>
    <w:rsid w:val="0009737C"/>
    <w:rsid w:val="000975B7"/>
    <w:rsid w:val="000A406D"/>
    <w:rsid w:val="000A4C23"/>
    <w:rsid w:val="000A4DC1"/>
    <w:rsid w:val="000A5A0F"/>
    <w:rsid w:val="000A614B"/>
    <w:rsid w:val="000A63D2"/>
    <w:rsid w:val="000A7286"/>
    <w:rsid w:val="000A7581"/>
    <w:rsid w:val="000A773A"/>
    <w:rsid w:val="000B108F"/>
    <w:rsid w:val="000B27E1"/>
    <w:rsid w:val="000B3E0E"/>
    <w:rsid w:val="000B7CCA"/>
    <w:rsid w:val="000B7EBD"/>
    <w:rsid w:val="000B7F6C"/>
    <w:rsid w:val="000C0356"/>
    <w:rsid w:val="000C04C5"/>
    <w:rsid w:val="000C0ABC"/>
    <w:rsid w:val="000C15CB"/>
    <w:rsid w:val="000C15F6"/>
    <w:rsid w:val="000C22E7"/>
    <w:rsid w:val="000C2E78"/>
    <w:rsid w:val="000C476D"/>
    <w:rsid w:val="000C5305"/>
    <w:rsid w:val="000C5B7D"/>
    <w:rsid w:val="000C660B"/>
    <w:rsid w:val="000C7293"/>
    <w:rsid w:val="000D0285"/>
    <w:rsid w:val="000D0A6E"/>
    <w:rsid w:val="000D0C0C"/>
    <w:rsid w:val="000D0E37"/>
    <w:rsid w:val="000D12C2"/>
    <w:rsid w:val="000D1341"/>
    <w:rsid w:val="000D2045"/>
    <w:rsid w:val="000D2488"/>
    <w:rsid w:val="000D2648"/>
    <w:rsid w:val="000D2FDF"/>
    <w:rsid w:val="000D521E"/>
    <w:rsid w:val="000D5664"/>
    <w:rsid w:val="000D5EC5"/>
    <w:rsid w:val="000D61BC"/>
    <w:rsid w:val="000D736D"/>
    <w:rsid w:val="000D78B0"/>
    <w:rsid w:val="000D7B04"/>
    <w:rsid w:val="000E0069"/>
    <w:rsid w:val="000E020B"/>
    <w:rsid w:val="000E0926"/>
    <w:rsid w:val="000E0D3D"/>
    <w:rsid w:val="000E7245"/>
    <w:rsid w:val="000F01D3"/>
    <w:rsid w:val="000F1720"/>
    <w:rsid w:val="000F1BA5"/>
    <w:rsid w:val="000F1F64"/>
    <w:rsid w:val="000F29CB"/>
    <w:rsid w:val="000F2D40"/>
    <w:rsid w:val="000F2E1A"/>
    <w:rsid w:val="000F3E69"/>
    <w:rsid w:val="000F4A48"/>
    <w:rsid w:val="000F4ABA"/>
    <w:rsid w:val="000F614E"/>
    <w:rsid w:val="000F66F1"/>
    <w:rsid w:val="000F76DB"/>
    <w:rsid w:val="00100095"/>
    <w:rsid w:val="001002F3"/>
    <w:rsid w:val="00100CF5"/>
    <w:rsid w:val="0010206E"/>
    <w:rsid w:val="00104E3F"/>
    <w:rsid w:val="001053CF"/>
    <w:rsid w:val="0010553F"/>
    <w:rsid w:val="00107DE2"/>
    <w:rsid w:val="00107FB9"/>
    <w:rsid w:val="00111F50"/>
    <w:rsid w:val="00112024"/>
    <w:rsid w:val="001124B8"/>
    <w:rsid w:val="00112840"/>
    <w:rsid w:val="00112F12"/>
    <w:rsid w:val="00113620"/>
    <w:rsid w:val="00115C4B"/>
    <w:rsid w:val="0011698D"/>
    <w:rsid w:val="00116B05"/>
    <w:rsid w:val="00116F0F"/>
    <w:rsid w:val="00117C57"/>
    <w:rsid w:val="00120850"/>
    <w:rsid w:val="00121003"/>
    <w:rsid w:val="00121A98"/>
    <w:rsid w:val="001231A6"/>
    <w:rsid w:val="001236BF"/>
    <w:rsid w:val="00123D0B"/>
    <w:rsid w:val="0012439F"/>
    <w:rsid w:val="00126B1D"/>
    <w:rsid w:val="00127374"/>
    <w:rsid w:val="00127B33"/>
    <w:rsid w:val="001306DD"/>
    <w:rsid w:val="00131807"/>
    <w:rsid w:val="0013208C"/>
    <w:rsid w:val="001327A1"/>
    <w:rsid w:val="00132C7F"/>
    <w:rsid w:val="00132CE6"/>
    <w:rsid w:val="001333B4"/>
    <w:rsid w:val="00134A50"/>
    <w:rsid w:val="0013590B"/>
    <w:rsid w:val="001360A7"/>
    <w:rsid w:val="0013629D"/>
    <w:rsid w:val="00137022"/>
    <w:rsid w:val="00137FDD"/>
    <w:rsid w:val="001406F6"/>
    <w:rsid w:val="00140793"/>
    <w:rsid w:val="001408FA"/>
    <w:rsid w:val="00141DDB"/>
    <w:rsid w:val="001421A1"/>
    <w:rsid w:val="00142AC8"/>
    <w:rsid w:val="00142BA3"/>
    <w:rsid w:val="00143325"/>
    <w:rsid w:val="00143758"/>
    <w:rsid w:val="001441D5"/>
    <w:rsid w:val="0014554D"/>
    <w:rsid w:val="00146ABB"/>
    <w:rsid w:val="00147243"/>
    <w:rsid w:val="00147506"/>
    <w:rsid w:val="0015024F"/>
    <w:rsid w:val="0015077E"/>
    <w:rsid w:val="001509C5"/>
    <w:rsid w:val="00150AA2"/>
    <w:rsid w:val="0015227C"/>
    <w:rsid w:val="0015248B"/>
    <w:rsid w:val="001532A8"/>
    <w:rsid w:val="0015371B"/>
    <w:rsid w:val="00155037"/>
    <w:rsid w:val="0015576A"/>
    <w:rsid w:val="001558F3"/>
    <w:rsid w:val="00157832"/>
    <w:rsid w:val="00157A44"/>
    <w:rsid w:val="0016062F"/>
    <w:rsid w:val="00160DCB"/>
    <w:rsid w:val="00160F2C"/>
    <w:rsid w:val="00160F4A"/>
    <w:rsid w:val="00162A4E"/>
    <w:rsid w:val="00162DB1"/>
    <w:rsid w:val="001645E9"/>
    <w:rsid w:val="0016668C"/>
    <w:rsid w:val="00167415"/>
    <w:rsid w:val="00167C0A"/>
    <w:rsid w:val="00170308"/>
    <w:rsid w:val="00172BB3"/>
    <w:rsid w:val="0017431E"/>
    <w:rsid w:val="00175189"/>
    <w:rsid w:val="00175712"/>
    <w:rsid w:val="00175C62"/>
    <w:rsid w:val="0018004C"/>
    <w:rsid w:val="00180772"/>
    <w:rsid w:val="00181DC3"/>
    <w:rsid w:val="00182F35"/>
    <w:rsid w:val="0018404A"/>
    <w:rsid w:val="0018711A"/>
    <w:rsid w:val="00187DF4"/>
    <w:rsid w:val="00192223"/>
    <w:rsid w:val="001924C1"/>
    <w:rsid w:val="00194572"/>
    <w:rsid w:val="00195FB7"/>
    <w:rsid w:val="0019731B"/>
    <w:rsid w:val="00197980"/>
    <w:rsid w:val="00197C91"/>
    <w:rsid w:val="001A006C"/>
    <w:rsid w:val="001A2EE8"/>
    <w:rsid w:val="001A3799"/>
    <w:rsid w:val="001A4CCD"/>
    <w:rsid w:val="001A607B"/>
    <w:rsid w:val="001A6225"/>
    <w:rsid w:val="001A69D5"/>
    <w:rsid w:val="001A6CB9"/>
    <w:rsid w:val="001A6CBF"/>
    <w:rsid w:val="001A74DD"/>
    <w:rsid w:val="001A7A65"/>
    <w:rsid w:val="001B02CA"/>
    <w:rsid w:val="001B0E07"/>
    <w:rsid w:val="001B12EB"/>
    <w:rsid w:val="001B3068"/>
    <w:rsid w:val="001B307F"/>
    <w:rsid w:val="001B35E6"/>
    <w:rsid w:val="001B5011"/>
    <w:rsid w:val="001B520B"/>
    <w:rsid w:val="001B5B7D"/>
    <w:rsid w:val="001B7B1E"/>
    <w:rsid w:val="001C180A"/>
    <w:rsid w:val="001C3787"/>
    <w:rsid w:val="001C39C3"/>
    <w:rsid w:val="001C4F08"/>
    <w:rsid w:val="001C5777"/>
    <w:rsid w:val="001C638E"/>
    <w:rsid w:val="001C7616"/>
    <w:rsid w:val="001D048A"/>
    <w:rsid w:val="001D04AB"/>
    <w:rsid w:val="001D05F9"/>
    <w:rsid w:val="001D0918"/>
    <w:rsid w:val="001D10F2"/>
    <w:rsid w:val="001D1CA2"/>
    <w:rsid w:val="001D1E07"/>
    <w:rsid w:val="001D229D"/>
    <w:rsid w:val="001D3516"/>
    <w:rsid w:val="001D406D"/>
    <w:rsid w:val="001D4D41"/>
    <w:rsid w:val="001D5644"/>
    <w:rsid w:val="001D6C75"/>
    <w:rsid w:val="001D6E7D"/>
    <w:rsid w:val="001D75C8"/>
    <w:rsid w:val="001E07FA"/>
    <w:rsid w:val="001E09A6"/>
    <w:rsid w:val="001E1084"/>
    <w:rsid w:val="001E1241"/>
    <w:rsid w:val="001E3683"/>
    <w:rsid w:val="001E3C6F"/>
    <w:rsid w:val="001E4FFF"/>
    <w:rsid w:val="001E7558"/>
    <w:rsid w:val="001F1531"/>
    <w:rsid w:val="001F17B3"/>
    <w:rsid w:val="001F1CEE"/>
    <w:rsid w:val="001F1D5C"/>
    <w:rsid w:val="001F27F0"/>
    <w:rsid w:val="001F3476"/>
    <w:rsid w:val="001F43B4"/>
    <w:rsid w:val="001F6C3D"/>
    <w:rsid w:val="002005F6"/>
    <w:rsid w:val="0020196C"/>
    <w:rsid w:val="00202DB3"/>
    <w:rsid w:val="002041F4"/>
    <w:rsid w:val="00204367"/>
    <w:rsid w:val="00204573"/>
    <w:rsid w:val="00204722"/>
    <w:rsid w:val="00205386"/>
    <w:rsid w:val="0020549B"/>
    <w:rsid w:val="00206252"/>
    <w:rsid w:val="002066E6"/>
    <w:rsid w:val="00206A25"/>
    <w:rsid w:val="00206A48"/>
    <w:rsid w:val="0021001F"/>
    <w:rsid w:val="00210AEA"/>
    <w:rsid w:val="002113E1"/>
    <w:rsid w:val="002125B2"/>
    <w:rsid w:val="00212683"/>
    <w:rsid w:val="002149B0"/>
    <w:rsid w:val="00214A4A"/>
    <w:rsid w:val="00214D4F"/>
    <w:rsid w:val="00215578"/>
    <w:rsid w:val="00216752"/>
    <w:rsid w:val="00216AE8"/>
    <w:rsid w:val="00217595"/>
    <w:rsid w:val="002221D7"/>
    <w:rsid w:val="00223909"/>
    <w:rsid w:val="00223BBD"/>
    <w:rsid w:val="00224374"/>
    <w:rsid w:val="00224EBD"/>
    <w:rsid w:val="00225410"/>
    <w:rsid w:val="002259C3"/>
    <w:rsid w:val="002265A6"/>
    <w:rsid w:val="00226772"/>
    <w:rsid w:val="0023035C"/>
    <w:rsid w:val="00230787"/>
    <w:rsid w:val="0023161F"/>
    <w:rsid w:val="00232828"/>
    <w:rsid w:val="00232F64"/>
    <w:rsid w:val="00242006"/>
    <w:rsid w:val="00243703"/>
    <w:rsid w:val="00244287"/>
    <w:rsid w:val="0024434A"/>
    <w:rsid w:val="00245CAD"/>
    <w:rsid w:val="0024658A"/>
    <w:rsid w:val="002478D4"/>
    <w:rsid w:val="00247D8A"/>
    <w:rsid w:val="00250E47"/>
    <w:rsid w:val="002527C7"/>
    <w:rsid w:val="0025295A"/>
    <w:rsid w:val="002546C7"/>
    <w:rsid w:val="0025519F"/>
    <w:rsid w:val="00256248"/>
    <w:rsid w:val="002562B6"/>
    <w:rsid w:val="00257657"/>
    <w:rsid w:val="002576D4"/>
    <w:rsid w:val="00257F7A"/>
    <w:rsid w:val="00260076"/>
    <w:rsid w:val="00260EB3"/>
    <w:rsid w:val="00261305"/>
    <w:rsid w:val="002619E4"/>
    <w:rsid w:val="00261C2B"/>
    <w:rsid w:val="00261F0B"/>
    <w:rsid w:val="00262087"/>
    <w:rsid w:val="00262710"/>
    <w:rsid w:val="002636FC"/>
    <w:rsid w:val="00263F79"/>
    <w:rsid w:val="00264038"/>
    <w:rsid w:val="00264269"/>
    <w:rsid w:val="0026441F"/>
    <w:rsid w:val="00264C02"/>
    <w:rsid w:val="00265813"/>
    <w:rsid w:val="0026675B"/>
    <w:rsid w:val="00266A19"/>
    <w:rsid w:val="00270854"/>
    <w:rsid w:val="00271C4D"/>
    <w:rsid w:val="0027354B"/>
    <w:rsid w:val="00273C10"/>
    <w:rsid w:val="00273EA6"/>
    <w:rsid w:val="00274788"/>
    <w:rsid w:val="00276A31"/>
    <w:rsid w:val="00277D7E"/>
    <w:rsid w:val="00277E68"/>
    <w:rsid w:val="00280CFD"/>
    <w:rsid w:val="00281013"/>
    <w:rsid w:val="00281962"/>
    <w:rsid w:val="00281BC2"/>
    <w:rsid w:val="00281D02"/>
    <w:rsid w:val="0028221C"/>
    <w:rsid w:val="0028275B"/>
    <w:rsid w:val="002837D1"/>
    <w:rsid w:val="00286F41"/>
    <w:rsid w:val="00287DB4"/>
    <w:rsid w:val="00290548"/>
    <w:rsid w:val="002906D6"/>
    <w:rsid w:val="00291DEE"/>
    <w:rsid w:val="00293E00"/>
    <w:rsid w:val="002951B9"/>
    <w:rsid w:val="00296652"/>
    <w:rsid w:val="002976B3"/>
    <w:rsid w:val="00297942"/>
    <w:rsid w:val="00297D84"/>
    <w:rsid w:val="002A044B"/>
    <w:rsid w:val="002A0D25"/>
    <w:rsid w:val="002A40DF"/>
    <w:rsid w:val="002A41C4"/>
    <w:rsid w:val="002A4644"/>
    <w:rsid w:val="002A48C5"/>
    <w:rsid w:val="002A4D36"/>
    <w:rsid w:val="002A6461"/>
    <w:rsid w:val="002A74D5"/>
    <w:rsid w:val="002A78A9"/>
    <w:rsid w:val="002B04AF"/>
    <w:rsid w:val="002B06B8"/>
    <w:rsid w:val="002B11F4"/>
    <w:rsid w:val="002B145D"/>
    <w:rsid w:val="002B3B00"/>
    <w:rsid w:val="002B4FE7"/>
    <w:rsid w:val="002B58B7"/>
    <w:rsid w:val="002B6849"/>
    <w:rsid w:val="002B7D60"/>
    <w:rsid w:val="002C03FE"/>
    <w:rsid w:val="002C048C"/>
    <w:rsid w:val="002C137C"/>
    <w:rsid w:val="002C1DEF"/>
    <w:rsid w:val="002C24FA"/>
    <w:rsid w:val="002C286C"/>
    <w:rsid w:val="002C30F0"/>
    <w:rsid w:val="002C31D8"/>
    <w:rsid w:val="002C3859"/>
    <w:rsid w:val="002C76C3"/>
    <w:rsid w:val="002C77C1"/>
    <w:rsid w:val="002D0194"/>
    <w:rsid w:val="002D14A2"/>
    <w:rsid w:val="002D3044"/>
    <w:rsid w:val="002D41BD"/>
    <w:rsid w:val="002D45D1"/>
    <w:rsid w:val="002D54D9"/>
    <w:rsid w:val="002D5982"/>
    <w:rsid w:val="002D5C8E"/>
    <w:rsid w:val="002D5E4D"/>
    <w:rsid w:val="002D6675"/>
    <w:rsid w:val="002D6955"/>
    <w:rsid w:val="002D7011"/>
    <w:rsid w:val="002D7C79"/>
    <w:rsid w:val="002E015C"/>
    <w:rsid w:val="002E091A"/>
    <w:rsid w:val="002E1280"/>
    <w:rsid w:val="002E18B0"/>
    <w:rsid w:val="002E1E7C"/>
    <w:rsid w:val="002E28B2"/>
    <w:rsid w:val="002E28DC"/>
    <w:rsid w:val="002E2DB3"/>
    <w:rsid w:val="002E321A"/>
    <w:rsid w:val="002E3DE2"/>
    <w:rsid w:val="002E5482"/>
    <w:rsid w:val="002F0EDF"/>
    <w:rsid w:val="002F1B21"/>
    <w:rsid w:val="002F2354"/>
    <w:rsid w:val="002F3A37"/>
    <w:rsid w:val="002F3BAA"/>
    <w:rsid w:val="002F6964"/>
    <w:rsid w:val="002F72BF"/>
    <w:rsid w:val="002F7F5A"/>
    <w:rsid w:val="00300B76"/>
    <w:rsid w:val="00302ECF"/>
    <w:rsid w:val="00304374"/>
    <w:rsid w:val="00304EDB"/>
    <w:rsid w:val="00305309"/>
    <w:rsid w:val="003054DC"/>
    <w:rsid w:val="00305FD4"/>
    <w:rsid w:val="00307015"/>
    <w:rsid w:val="003074D1"/>
    <w:rsid w:val="0031062C"/>
    <w:rsid w:val="00310B6B"/>
    <w:rsid w:val="00310D1A"/>
    <w:rsid w:val="00311B2D"/>
    <w:rsid w:val="00312A17"/>
    <w:rsid w:val="00312BB7"/>
    <w:rsid w:val="003146B5"/>
    <w:rsid w:val="00314E1A"/>
    <w:rsid w:val="003155A6"/>
    <w:rsid w:val="003167E6"/>
    <w:rsid w:val="003213F8"/>
    <w:rsid w:val="00321941"/>
    <w:rsid w:val="003222FE"/>
    <w:rsid w:val="003225E8"/>
    <w:rsid w:val="00325F50"/>
    <w:rsid w:val="0032708F"/>
    <w:rsid w:val="00327F7F"/>
    <w:rsid w:val="0033083D"/>
    <w:rsid w:val="00331030"/>
    <w:rsid w:val="003311A2"/>
    <w:rsid w:val="003315C4"/>
    <w:rsid w:val="00332AEC"/>
    <w:rsid w:val="00334BF0"/>
    <w:rsid w:val="00334D2E"/>
    <w:rsid w:val="003450D0"/>
    <w:rsid w:val="00345BDB"/>
    <w:rsid w:val="00346184"/>
    <w:rsid w:val="00347126"/>
    <w:rsid w:val="0034762B"/>
    <w:rsid w:val="003509A2"/>
    <w:rsid w:val="0035126E"/>
    <w:rsid w:val="00351BF6"/>
    <w:rsid w:val="003528D7"/>
    <w:rsid w:val="003546AB"/>
    <w:rsid w:val="003566C1"/>
    <w:rsid w:val="0035724A"/>
    <w:rsid w:val="003577BE"/>
    <w:rsid w:val="00357A14"/>
    <w:rsid w:val="0036117B"/>
    <w:rsid w:val="00361F60"/>
    <w:rsid w:val="0036237B"/>
    <w:rsid w:val="003626EF"/>
    <w:rsid w:val="00362AB0"/>
    <w:rsid w:val="00362C9B"/>
    <w:rsid w:val="00362F4C"/>
    <w:rsid w:val="00362F73"/>
    <w:rsid w:val="00363F42"/>
    <w:rsid w:val="0036468E"/>
    <w:rsid w:val="00365633"/>
    <w:rsid w:val="00366A5B"/>
    <w:rsid w:val="003673D2"/>
    <w:rsid w:val="00371299"/>
    <w:rsid w:val="00372FCB"/>
    <w:rsid w:val="00374BED"/>
    <w:rsid w:val="00374CDE"/>
    <w:rsid w:val="0037615B"/>
    <w:rsid w:val="0037643B"/>
    <w:rsid w:val="003778D7"/>
    <w:rsid w:val="00377911"/>
    <w:rsid w:val="00380C5E"/>
    <w:rsid w:val="003812EA"/>
    <w:rsid w:val="00383FA8"/>
    <w:rsid w:val="003841CC"/>
    <w:rsid w:val="003842AA"/>
    <w:rsid w:val="00384FC5"/>
    <w:rsid w:val="00385375"/>
    <w:rsid w:val="00386A23"/>
    <w:rsid w:val="00386C75"/>
    <w:rsid w:val="00387421"/>
    <w:rsid w:val="00390449"/>
    <w:rsid w:val="00391BEB"/>
    <w:rsid w:val="003926BF"/>
    <w:rsid w:val="003945B5"/>
    <w:rsid w:val="00395D0F"/>
    <w:rsid w:val="003963F3"/>
    <w:rsid w:val="00396839"/>
    <w:rsid w:val="00397174"/>
    <w:rsid w:val="003A084B"/>
    <w:rsid w:val="003A3302"/>
    <w:rsid w:val="003A4134"/>
    <w:rsid w:val="003A43E4"/>
    <w:rsid w:val="003A6334"/>
    <w:rsid w:val="003A6863"/>
    <w:rsid w:val="003A6C42"/>
    <w:rsid w:val="003B0A54"/>
    <w:rsid w:val="003B15DF"/>
    <w:rsid w:val="003B1E05"/>
    <w:rsid w:val="003B22C5"/>
    <w:rsid w:val="003B364C"/>
    <w:rsid w:val="003B426D"/>
    <w:rsid w:val="003B44B1"/>
    <w:rsid w:val="003B5EE0"/>
    <w:rsid w:val="003B6CF9"/>
    <w:rsid w:val="003B7416"/>
    <w:rsid w:val="003B7716"/>
    <w:rsid w:val="003C12C5"/>
    <w:rsid w:val="003C1603"/>
    <w:rsid w:val="003C1E81"/>
    <w:rsid w:val="003C200E"/>
    <w:rsid w:val="003C28FE"/>
    <w:rsid w:val="003C40CF"/>
    <w:rsid w:val="003C534C"/>
    <w:rsid w:val="003C54B6"/>
    <w:rsid w:val="003C604B"/>
    <w:rsid w:val="003C6D09"/>
    <w:rsid w:val="003C6E6A"/>
    <w:rsid w:val="003C7310"/>
    <w:rsid w:val="003C7692"/>
    <w:rsid w:val="003D11E3"/>
    <w:rsid w:val="003D1D3D"/>
    <w:rsid w:val="003D1E45"/>
    <w:rsid w:val="003D218F"/>
    <w:rsid w:val="003D27DF"/>
    <w:rsid w:val="003D395F"/>
    <w:rsid w:val="003D3960"/>
    <w:rsid w:val="003D4163"/>
    <w:rsid w:val="003D44C9"/>
    <w:rsid w:val="003D45EE"/>
    <w:rsid w:val="003E00EA"/>
    <w:rsid w:val="003E123F"/>
    <w:rsid w:val="003E1440"/>
    <w:rsid w:val="003E160B"/>
    <w:rsid w:val="003E1846"/>
    <w:rsid w:val="003E214E"/>
    <w:rsid w:val="003E2D70"/>
    <w:rsid w:val="003E312E"/>
    <w:rsid w:val="003E365C"/>
    <w:rsid w:val="003E3A4D"/>
    <w:rsid w:val="003E4CE2"/>
    <w:rsid w:val="003E5956"/>
    <w:rsid w:val="003E698F"/>
    <w:rsid w:val="003E76AA"/>
    <w:rsid w:val="003F0A4B"/>
    <w:rsid w:val="003F0EFD"/>
    <w:rsid w:val="003F18BD"/>
    <w:rsid w:val="003F1DAC"/>
    <w:rsid w:val="003F2158"/>
    <w:rsid w:val="003F22C3"/>
    <w:rsid w:val="003F2CFD"/>
    <w:rsid w:val="003F30E2"/>
    <w:rsid w:val="003F376A"/>
    <w:rsid w:val="003F3C79"/>
    <w:rsid w:val="003F5657"/>
    <w:rsid w:val="003F638A"/>
    <w:rsid w:val="003F718C"/>
    <w:rsid w:val="003F73C9"/>
    <w:rsid w:val="003F767C"/>
    <w:rsid w:val="003F7C8F"/>
    <w:rsid w:val="004008F1"/>
    <w:rsid w:val="00400B59"/>
    <w:rsid w:val="0040237E"/>
    <w:rsid w:val="004029D0"/>
    <w:rsid w:val="00402D0F"/>
    <w:rsid w:val="0040315F"/>
    <w:rsid w:val="00403533"/>
    <w:rsid w:val="00403657"/>
    <w:rsid w:val="00403F64"/>
    <w:rsid w:val="00404F17"/>
    <w:rsid w:val="0040711D"/>
    <w:rsid w:val="00410CDC"/>
    <w:rsid w:val="00410E45"/>
    <w:rsid w:val="00412DE2"/>
    <w:rsid w:val="00412FD5"/>
    <w:rsid w:val="00413686"/>
    <w:rsid w:val="00413749"/>
    <w:rsid w:val="004157FB"/>
    <w:rsid w:val="0041620A"/>
    <w:rsid w:val="00416D58"/>
    <w:rsid w:val="004179A7"/>
    <w:rsid w:val="004215C5"/>
    <w:rsid w:val="00422E29"/>
    <w:rsid w:val="00424997"/>
    <w:rsid w:val="00425971"/>
    <w:rsid w:val="00426A3C"/>
    <w:rsid w:val="00427191"/>
    <w:rsid w:val="004272BB"/>
    <w:rsid w:val="00427815"/>
    <w:rsid w:val="00430702"/>
    <w:rsid w:val="00432AE5"/>
    <w:rsid w:val="00432B6B"/>
    <w:rsid w:val="004352E5"/>
    <w:rsid w:val="004361E8"/>
    <w:rsid w:val="004372A9"/>
    <w:rsid w:val="004372C4"/>
    <w:rsid w:val="004375F1"/>
    <w:rsid w:val="00440595"/>
    <w:rsid w:val="004418AE"/>
    <w:rsid w:val="00441C27"/>
    <w:rsid w:val="00442875"/>
    <w:rsid w:val="004432C1"/>
    <w:rsid w:val="004464A0"/>
    <w:rsid w:val="004465B6"/>
    <w:rsid w:val="004466EF"/>
    <w:rsid w:val="0045156D"/>
    <w:rsid w:val="00453373"/>
    <w:rsid w:val="00453600"/>
    <w:rsid w:val="0045427C"/>
    <w:rsid w:val="0045473C"/>
    <w:rsid w:val="00455CB6"/>
    <w:rsid w:val="00455FD1"/>
    <w:rsid w:val="0045696A"/>
    <w:rsid w:val="0045713E"/>
    <w:rsid w:val="0046050E"/>
    <w:rsid w:val="004630E3"/>
    <w:rsid w:val="004655E9"/>
    <w:rsid w:val="00465A3F"/>
    <w:rsid w:val="004709B8"/>
    <w:rsid w:val="00470EE4"/>
    <w:rsid w:val="00471200"/>
    <w:rsid w:val="00471B99"/>
    <w:rsid w:val="004727C2"/>
    <w:rsid w:val="00472E9F"/>
    <w:rsid w:val="004739FE"/>
    <w:rsid w:val="00473E3A"/>
    <w:rsid w:val="00473EC1"/>
    <w:rsid w:val="004740B4"/>
    <w:rsid w:val="0047472D"/>
    <w:rsid w:val="00474BA9"/>
    <w:rsid w:val="00474FE0"/>
    <w:rsid w:val="004750E9"/>
    <w:rsid w:val="0047662C"/>
    <w:rsid w:val="004768CB"/>
    <w:rsid w:val="00477C15"/>
    <w:rsid w:val="00481802"/>
    <w:rsid w:val="0048200B"/>
    <w:rsid w:val="004836CB"/>
    <w:rsid w:val="004839F1"/>
    <w:rsid w:val="00484212"/>
    <w:rsid w:val="00484DE6"/>
    <w:rsid w:val="004855B8"/>
    <w:rsid w:val="004855E2"/>
    <w:rsid w:val="00485E7A"/>
    <w:rsid w:val="004866FE"/>
    <w:rsid w:val="00486C6B"/>
    <w:rsid w:val="00490C93"/>
    <w:rsid w:val="00491691"/>
    <w:rsid w:val="00491C11"/>
    <w:rsid w:val="00492A64"/>
    <w:rsid w:val="00492F41"/>
    <w:rsid w:val="004930E0"/>
    <w:rsid w:val="004936C9"/>
    <w:rsid w:val="004941EF"/>
    <w:rsid w:val="0049642C"/>
    <w:rsid w:val="004A1E74"/>
    <w:rsid w:val="004A3959"/>
    <w:rsid w:val="004A3DA8"/>
    <w:rsid w:val="004A4671"/>
    <w:rsid w:val="004A4F98"/>
    <w:rsid w:val="004A535A"/>
    <w:rsid w:val="004A7299"/>
    <w:rsid w:val="004A7542"/>
    <w:rsid w:val="004B09B7"/>
    <w:rsid w:val="004B1547"/>
    <w:rsid w:val="004B190B"/>
    <w:rsid w:val="004B23BD"/>
    <w:rsid w:val="004B435E"/>
    <w:rsid w:val="004B544C"/>
    <w:rsid w:val="004B5843"/>
    <w:rsid w:val="004B6100"/>
    <w:rsid w:val="004B68DE"/>
    <w:rsid w:val="004B69BF"/>
    <w:rsid w:val="004B6C10"/>
    <w:rsid w:val="004B70CD"/>
    <w:rsid w:val="004C1416"/>
    <w:rsid w:val="004C23A1"/>
    <w:rsid w:val="004C2B2F"/>
    <w:rsid w:val="004C41AE"/>
    <w:rsid w:val="004C448E"/>
    <w:rsid w:val="004C480D"/>
    <w:rsid w:val="004C5C03"/>
    <w:rsid w:val="004C6DE1"/>
    <w:rsid w:val="004C7FF9"/>
    <w:rsid w:val="004D1663"/>
    <w:rsid w:val="004D2184"/>
    <w:rsid w:val="004D219E"/>
    <w:rsid w:val="004D269D"/>
    <w:rsid w:val="004D4717"/>
    <w:rsid w:val="004D501E"/>
    <w:rsid w:val="004D6326"/>
    <w:rsid w:val="004D70C6"/>
    <w:rsid w:val="004D76A2"/>
    <w:rsid w:val="004E02B5"/>
    <w:rsid w:val="004E07F0"/>
    <w:rsid w:val="004E0FCD"/>
    <w:rsid w:val="004E1D62"/>
    <w:rsid w:val="004E41B0"/>
    <w:rsid w:val="004E668A"/>
    <w:rsid w:val="004E74EB"/>
    <w:rsid w:val="004E7CCE"/>
    <w:rsid w:val="004F019B"/>
    <w:rsid w:val="004F01E8"/>
    <w:rsid w:val="004F028F"/>
    <w:rsid w:val="004F1173"/>
    <w:rsid w:val="004F3B21"/>
    <w:rsid w:val="004F4F09"/>
    <w:rsid w:val="004F6A06"/>
    <w:rsid w:val="005000CF"/>
    <w:rsid w:val="00500D24"/>
    <w:rsid w:val="00501A24"/>
    <w:rsid w:val="0050273D"/>
    <w:rsid w:val="0050328D"/>
    <w:rsid w:val="005041A2"/>
    <w:rsid w:val="00505327"/>
    <w:rsid w:val="005053DC"/>
    <w:rsid w:val="005067CD"/>
    <w:rsid w:val="00510E19"/>
    <w:rsid w:val="005116A2"/>
    <w:rsid w:val="005116A7"/>
    <w:rsid w:val="00511770"/>
    <w:rsid w:val="00511B07"/>
    <w:rsid w:val="0051229A"/>
    <w:rsid w:val="00512510"/>
    <w:rsid w:val="00513653"/>
    <w:rsid w:val="0051436A"/>
    <w:rsid w:val="00515608"/>
    <w:rsid w:val="005159B5"/>
    <w:rsid w:val="0052062B"/>
    <w:rsid w:val="005210DD"/>
    <w:rsid w:val="00521BB0"/>
    <w:rsid w:val="005222E4"/>
    <w:rsid w:val="00522DAD"/>
    <w:rsid w:val="00524BB0"/>
    <w:rsid w:val="00524FE1"/>
    <w:rsid w:val="00525589"/>
    <w:rsid w:val="00525C7F"/>
    <w:rsid w:val="00526A4C"/>
    <w:rsid w:val="0052732D"/>
    <w:rsid w:val="00527F29"/>
    <w:rsid w:val="005308E5"/>
    <w:rsid w:val="005330EC"/>
    <w:rsid w:val="00534CBE"/>
    <w:rsid w:val="00535C18"/>
    <w:rsid w:val="00536A25"/>
    <w:rsid w:val="00536C3A"/>
    <w:rsid w:val="00537005"/>
    <w:rsid w:val="005372A0"/>
    <w:rsid w:val="00537330"/>
    <w:rsid w:val="005375FE"/>
    <w:rsid w:val="00540112"/>
    <w:rsid w:val="005401F6"/>
    <w:rsid w:val="00540E35"/>
    <w:rsid w:val="00541227"/>
    <w:rsid w:val="00541A51"/>
    <w:rsid w:val="005422B9"/>
    <w:rsid w:val="005427E7"/>
    <w:rsid w:val="00542C9F"/>
    <w:rsid w:val="005441FF"/>
    <w:rsid w:val="00544278"/>
    <w:rsid w:val="005442B8"/>
    <w:rsid w:val="00544D97"/>
    <w:rsid w:val="0054536F"/>
    <w:rsid w:val="00550F40"/>
    <w:rsid w:val="00551C41"/>
    <w:rsid w:val="0055439A"/>
    <w:rsid w:val="00554CC5"/>
    <w:rsid w:val="005553BF"/>
    <w:rsid w:val="00557B6D"/>
    <w:rsid w:val="00557E72"/>
    <w:rsid w:val="00557FEC"/>
    <w:rsid w:val="0056016A"/>
    <w:rsid w:val="0056427B"/>
    <w:rsid w:val="005642AE"/>
    <w:rsid w:val="0056440E"/>
    <w:rsid w:val="00564A4C"/>
    <w:rsid w:val="00565468"/>
    <w:rsid w:val="005671B2"/>
    <w:rsid w:val="005717A2"/>
    <w:rsid w:val="00571CA3"/>
    <w:rsid w:val="00571F25"/>
    <w:rsid w:val="0057326C"/>
    <w:rsid w:val="005732D8"/>
    <w:rsid w:val="005744A6"/>
    <w:rsid w:val="005754E5"/>
    <w:rsid w:val="005762E6"/>
    <w:rsid w:val="005777FD"/>
    <w:rsid w:val="005811E8"/>
    <w:rsid w:val="00581363"/>
    <w:rsid w:val="00581E45"/>
    <w:rsid w:val="005826D1"/>
    <w:rsid w:val="00583508"/>
    <w:rsid w:val="00583CF2"/>
    <w:rsid w:val="00584132"/>
    <w:rsid w:val="005843FC"/>
    <w:rsid w:val="00585090"/>
    <w:rsid w:val="005852B9"/>
    <w:rsid w:val="00585550"/>
    <w:rsid w:val="00586538"/>
    <w:rsid w:val="00587693"/>
    <w:rsid w:val="005911AE"/>
    <w:rsid w:val="0059152F"/>
    <w:rsid w:val="00592BF9"/>
    <w:rsid w:val="005939AA"/>
    <w:rsid w:val="00593E77"/>
    <w:rsid w:val="00595FFB"/>
    <w:rsid w:val="005A28D0"/>
    <w:rsid w:val="005A33B9"/>
    <w:rsid w:val="005A39C3"/>
    <w:rsid w:val="005A4D7E"/>
    <w:rsid w:val="005A59B5"/>
    <w:rsid w:val="005A6058"/>
    <w:rsid w:val="005A7DC4"/>
    <w:rsid w:val="005B154D"/>
    <w:rsid w:val="005B16C7"/>
    <w:rsid w:val="005B42DA"/>
    <w:rsid w:val="005B502B"/>
    <w:rsid w:val="005B5D0C"/>
    <w:rsid w:val="005B6125"/>
    <w:rsid w:val="005B6A08"/>
    <w:rsid w:val="005B73ED"/>
    <w:rsid w:val="005B79D7"/>
    <w:rsid w:val="005C072E"/>
    <w:rsid w:val="005C3470"/>
    <w:rsid w:val="005C426C"/>
    <w:rsid w:val="005C5417"/>
    <w:rsid w:val="005C5C39"/>
    <w:rsid w:val="005C6CFB"/>
    <w:rsid w:val="005C710F"/>
    <w:rsid w:val="005D0B84"/>
    <w:rsid w:val="005D0EEF"/>
    <w:rsid w:val="005D10C3"/>
    <w:rsid w:val="005D1337"/>
    <w:rsid w:val="005D1B29"/>
    <w:rsid w:val="005D4E94"/>
    <w:rsid w:val="005D4FD2"/>
    <w:rsid w:val="005D5562"/>
    <w:rsid w:val="005D723E"/>
    <w:rsid w:val="005D7CF7"/>
    <w:rsid w:val="005D7EB9"/>
    <w:rsid w:val="005E02BA"/>
    <w:rsid w:val="005E111D"/>
    <w:rsid w:val="005E1A8A"/>
    <w:rsid w:val="005E21E1"/>
    <w:rsid w:val="005E59FC"/>
    <w:rsid w:val="005E5B66"/>
    <w:rsid w:val="005E7309"/>
    <w:rsid w:val="005E7FE2"/>
    <w:rsid w:val="005F0B32"/>
    <w:rsid w:val="005F0C09"/>
    <w:rsid w:val="005F1E30"/>
    <w:rsid w:val="005F23AC"/>
    <w:rsid w:val="005F3288"/>
    <w:rsid w:val="005F3F7D"/>
    <w:rsid w:val="005F6BC5"/>
    <w:rsid w:val="005F7ED3"/>
    <w:rsid w:val="0060222C"/>
    <w:rsid w:val="006026BE"/>
    <w:rsid w:val="00603295"/>
    <w:rsid w:val="00603CE4"/>
    <w:rsid w:val="00604D9F"/>
    <w:rsid w:val="00604E51"/>
    <w:rsid w:val="006056EC"/>
    <w:rsid w:val="00605852"/>
    <w:rsid w:val="006058A4"/>
    <w:rsid w:val="00605AF2"/>
    <w:rsid w:val="00610FEC"/>
    <w:rsid w:val="006131D2"/>
    <w:rsid w:val="006152A5"/>
    <w:rsid w:val="0061580A"/>
    <w:rsid w:val="0061768F"/>
    <w:rsid w:val="00617951"/>
    <w:rsid w:val="00617C7B"/>
    <w:rsid w:val="00621420"/>
    <w:rsid w:val="0062168B"/>
    <w:rsid w:val="00622092"/>
    <w:rsid w:val="00622B51"/>
    <w:rsid w:val="00622C1C"/>
    <w:rsid w:val="006232FF"/>
    <w:rsid w:val="006238DD"/>
    <w:rsid w:val="00624779"/>
    <w:rsid w:val="00624E02"/>
    <w:rsid w:val="00624F53"/>
    <w:rsid w:val="006275A1"/>
    <w:rsid w:val="00627BF7"/>
    <w:rsid w:val="0063068B"/>
    <w:rsid w:val="00630B90"/>
    <w:rsid w:val="006316B8"/>
    <w:rsid w:val="00631D33"/>
    <w:rsid w:val="00633D84"/>
    <w:rsid w:val="006342B1"/>
    <w:rsid w:val="00634B1F"/>
    <w:rsid w:val="00634ECE"/>
    <w:rsid w:val="0063659E"/>
    <w:rsid w:val="00636A73"/>
    <w:rsid w:val="00636D47"/>
    <w:rsid w:val="0063711F"/>
    <w:rsid w:val="00640C7B"/>
    <w:rsid w:val="006422D8"/>
    <w:rsid w:val="006426C8"/>
    <w:rsid w:val="00642913"/>
    <w:rsid w:val="006435F9"/>
    <w:rsid w:val="00643B90"/>
    <w:rsid w:val="00644266"/>
    <w:rsid w:val="00644B88"/>
    <w:rsid w:val="0064527B"/>
    <w:rsid w:val="00646662"/>
    <w:rsid w:val="0064748F"/>
    <w:rsid w:val="00650825"/>
    <w:rsid w:val="00650B61"/>
    <w:rsid w:val="00650CD7"/>
    <w:rsid w:val="0065227C"/>
    <w:rsid w:val="00652C22"/>
    <w:rsid w:val="00652D39"/>
    <w:rsid w:val="00652F10"/>
    <w:rsid w:val="006549FC"/>
    <w:rsid w:val="0065700A"/>
    <w:rsid w:val="00660152"/>
    <w:rsid w:val="0066018D"/>
    <w:rsid w:val="00660489"/>
    <w:rsid w:val="00660694"/>
    <w:rsid w:val="00660995"/>
    <w:rsid w:val="00660A49"/>
    <w:rsid w:val="006619F7"/>
    <w:rsid w:val="00662B10"/>
    <w:rsid w:val="00662EB0"/>
    <w:rsid w:val="00663901"/>
    <w:rsid w:val="0066422D"/>
    <w:rsid w:val="0066457C"/>
    <w:rsid w:val="00665198"/>
    <w:rsid w:val="0066580E"/>
    <w:rsid w:val="00666250"/>
    <w:rsid w:val="0066774F"/>
    <w:rsid w:val="00670A5A"/>
    <w:rsid w:val="00670CCE"/>
    <w:rsid w:val="00670F33"/>
    <w:rsid w:val="006721DD"/>
    <w:rsid w:val="00673745"/>
    <w:rsid w:val="00673D90"/>
    <w:rsid w:val="0067578D"/>
    <w:rsid w:val="00680A80"/>
    <w:rsid w:val="0068175A"/>
    <w:rsid w:val="00682891"/>
    <w:rsid w:val="00683ABE"/>
    <w:rsid w:val="00683D43"/>
    <w:rsid w:val="00683E5B"/>
    <w:rsid w:val="0068411C"/>
    <w:rsid w:val="006876F4"/>
    <w:rsid w:val="00687A19"/>
    <w:rsid w:val="00687A6F"/>
    <w:rsid w:val="00687E6B"/>
    <w:rsid w:val="00690E67"/>
    <w:rsid w:val="006920CE"/>
    <w:rsid w:val="00692C73"/>
    <w:rsid w:val="006946BF"/>
    <w:rsid w:val="00695F13"/>
    <w:rsid w:val="00696BDB"/>
    <w:rsid w:val="006972CF"/>
    <w:rsid w:val="006A0885"/>
    <w:rsid w:val="006A0B6E"/>
    <w:rsid w:val="006A0C55"/>
    <w:rsid w:val="006A298B"/>
    <w:rsid w:val="006A2B51"/>
    <w:rsid w:val="006A2DA9"/>
    <w:rsid w:val="006B0AA2"/>
    <w:rsid w:val="006B0B42"/>
    <w:rsid w:val="006B115C"/>
    <w:rsid w:val="006B2C13"/>
    <w:rsid w:val="006B44B4"/>
    <w:rsid w:val="006B48F7"/>
    <w:rsid w:val="006B51CF"/>
    <w:rsid w:val="006B52CA"/>
    <w:rsid w:val="006B6090"/>
    <w:rsid w:val="006B7CFF"/>
    <w:rsid w:val="006C2787"/>
    <w:rsid w:val="006C27CD"/>
    <w:rsid w:val="006C3F6E"/>
    <w:rsid w:val="006C4C21"/>
    <w:rsid w:val="006C6C2B"/>
    <w:rsid w:val="006C79FE"/>
    <w:rsid w:val="006D0571"/>
    <w:rsid w:val="006D1EC3"/>
    <w:rsid w:val="006D1F67"/>
    <w:rsid w:val="006D2268"/>
    <w:rsid w:val="006D2B23"/>
    <w:rsid w:val="006D334A"/>
    <w:rsid w:val="006D50C3"/>
    <w:rsid w:val="006D6C49"/>
    <w:rsid w:val="006D7129"/>
    <w:rsid w:val="006D79F3"/>
    <w:rsid w:val="006D7AB1"/>
    <w:rsid w:val="006D7CDA"/>
    <w:rsid w:val="006D7D8D"/>
    <w:rsid w:val="006E1961"/>
    <w:rsid w:val="006E1F49"/>
    <w:rsid w:val="006E2CB3"/>
    <w:rsid w:val="006E3DCA"/>
    <w:rsid w:val="006E4204"/>
    <w:rsid w:val="006E491E"/>
    <w:rsid w:val="006E4A32"/>
    <w:rsid w:val="006E518A"/>
    <w:rsid w:val="006E572C"/>
    <w:rsid w:val="006E6131"/>
    <w:rsid w:val="006E63EA"/>
    <w:rsid w:val="006E69D0"/>
    <w:rsid w:val="006E6F08"/>
    <w:rsid w:val="006E7515"/>
    <w:rsid w:val="006F109D"/>
    <w:rsid w:val="006F1E4C"/>
    <w:rsid w:val="006F21CE"/>
    <w:rsid w:val="006F28BA"/>
    <w:rsid w:val="006F2BD9"/>
    <w:rsid w:val="006F3CEE"/>
    <w:rsid w:val="006F3E64"/>
    <w:rsid w:val="006F455F"/>
    <w:rsid w:val="006F5643"/>
    <w:rsid w:val="006F5769"/>
    <w:rsid w:val="0070030D"/>
    <w:rsid w:val="0070112F"/>
    <w:rsid w:val="007029E5"/>
    <w:rsid w:val="00702E31"/>
    <w:rsid w:val="00703BC7"/>
    <w:rsid w:val="0070462C"/>
    <w:rsid w:val="00705F3E"/>
    <w:rsid w:val="00705F67"/>
    <w:rsid w:val="00707323"/>
    <w:rsid w:val="0071071B"/>
    <w:rsid w:val="00711094"/>
    <w:rsid w:val="007115C8"/>
    <w:rsid w:val="0071196E"/>
    <w:rsid w:val="007122B8"/>
    <w:rsid w:val="007128FB"/>
    <w:rsid w:val="00712A89"/>
    <w:rsid w:val="00712F35"/>
    <w:rsid w:val="00714B37"/>
    <w:rsid w:val="00715199"/>
    <w:rsid w:val="00715433"/>
    <w:rsid w:val="00715453"/>
    <w:rsid w:val="0071621F"/>
    <w:rsid w:val="007203E6"/>
    <w:rsid w:val="00720D18"/>
    <w:rsid w:val="00721FBD"/>
    <w:rsid w:val="00722ED0"/>
    <w:rsid w:val="00723449"/>
    <w:rsid w:val="00723C56"/>
    <w:rsid w:val="00724134"/>
    <w:rsid w:val="007241E6"/>
    <w:rsid w:val="0072436C"/>
    <w:rsid w:val="00724AF0"/>
    <w:rsid w:val="007259D4"/>
    <w:rsid w:val="00726E19"/>
    <w:rsid w:val="007274B0"/>
    <w:rsid w:val="00731965"/>
    <w:rsid w:val="00733851"/>
    <w:rsid w:val="00733D86"/>
    <w:rsid w:val="00735D6B"/>
    <w:rsid w:val="00736252"/>
    <w:rsid w:val="00736691"/>
    <w:rsid w:val="0074187A"/>
    <w:rsid w:val="00743425"/>
    <w:rsid w:val="007434A0"/>
    <w:rsid w:val="00751E09"/>
    <w:rsid w:val="007521F4"/>
    <w:rsid w:val="007537A6"/>
    <w:rsid w:val="00753F54"/>
    <w:rsid w:val="00755342"/>
    <w:rsid w:val="007560C7"/>
    <w:rsid w:val="007625EC"/>
    <w:rsid w:val="0076276D"/>
    <w:rsid w:val="00763176"/>
    <w:rsid w:val="0076407B"/>
    <w:rsid w:val="0076423C"/>
    <w:rsid w:val="00764292"/>
    <w:rsid w:val="0076477A"/>
    <w:rsid w:val="00764BCE"/>
    <w:rsid w:val="00766F63"/>
    <w:rsid w:val="00766FBF"/>
    <w:rsid w:val="0076743F"/>
    <w:rsid w:val="007675B8"/>
    <w:rsid w:val="0077060D"/>
    <w:rsid w:val="00771831"/>
    <w:rsid w:val="007719BB"/>
    <w:rsid w:val="0077262E"/>
    <w:rsid w:val="00772E93"/>
    <w:rsid w:val="00773A45"/>
    <w:rsid w:val="0077401A"/>
    <w:rsid w:val="0077502D"/>
    <w:rsid w:val="00775E88"/>
    <w:rsid w:val="0077627A"/>
    <w:rsid w:val="00776FB4"/>
    <w:rsid w:val="00777447"/>
    <w:rsid w:val="00777BE5"/>
    <w:rsid w:val="00780476"/>
    <w:rsid w:val="00780EF7"/>
    <w:rsid w:val="00782471"/>
    <w:rsid w:val="007834BE"/>
    <w:rsid w:val="00783514"/>
    <w:rsid w:val="007836E2"/>
    <w:rsid w:val="00783A22"/>
    <w:rsid w:val="00784B21"/>
    <w:rsid w:val="007860E9"/>
    <w:rsid w:val="00786F55"/>
    <w:rsid w:val="00787008"/>
    <w:rsid w:val="007871DE"/>
    <w:rsid w:val="00790C97"/>
    <w:rsid w:val="007922EF"/>
    <w:rsid w:val="00792B9E"/>
    <w:rsid w:val="00794A4B"/>
    <w:rsid w:val="00794C5A"/>
    <w:rsid w:val="00796766"/>
    <w:rsid w:val="00796BFF"/>
    <w:rsid w:val="007977A6"/>
    <w:rsid w:val="00797C4C"/>
    <w:rsid w:val="007A0E91"/>
    <w:rsid w:val="007A17D0"/>
    <w:rsid w:val="007A2B50"/>
    <w:rsid w:val="007A3EC7"/>
    <w:rsid w:val="007A4500"/>
    <w:rsid w:val="007A73C8"/>
    <w:rsid w:val="007A7C74"/>
    <w:rsid w:val="007B0192"/>
    <w:rsid w:val="007B0CBD"/>
    <w:rsid w:val="007B1ABE"/>
    <w:rsid w:val="007B334C"/>
    <w:rsid w:val="007B59BC"/>
    <w:rsid w:val="007B5A0B"/>
    <w:rsid w:val="007B7444"/>
    <w:rsid w:val="007C08C2"/>
    <w:rsid w:val="007C1205"/>
    <w:rsid w:val="007C1EED"/>
    <w:rsid w:val="007C34B7"/>
    <w:rsid w:val="007C3E7F"/>
    <w:rsid w:val="007C47BA"/>
    <w:rsid w:val="007C5886"/>
    <w:rsid w:val="007C64C7"/>
    <w:rsid w:val="007C72C5"/>
    <w:rsid w:val="007D08CC"/>
    <w:rsid w:val="007D4B21"/>
    <w:rsid w:val="007D60DD"/>
    <w:rsid w:val="007D6756"/>
    <w:rsid w:val="007D7747"/>
    <w:rsid w:val="007E06A6"/>
    <w:rsid w:val="007E06CE"/>
    <w:rsid w:val="007E1174"/>
    <w:rsid w:val="007E335A"/>
    <w:rsid w:val="007E365B"/>
    <w:rsid w:val="007E5044"/>
    <w:rsid w:val="007E5058"/>
    <w:rsid w:val="007E62A0"/>
    <w:rsid w:val="007E6834"/>
    <w:rsid w:val="007F0D9D"/>
    <w:rsid w:val="007F12FA"/>
    <w:rsid w:val="007F242D"/>
    <w:rsid w:val="007F288F"/>
    <w:rsid w:val="007F2AA2"/>
    <w:rsid w:val="007F45E8"/>
    <w:rsid w:val="007F592C"/>
    <w:rsid w:val="007F6616"/>
    <w:rsid w:val="007F678A"/>
    <w:rsid w:val="00801470"/>
    <w:rsid w:val="00804E2A"/>
    <w:rsid w:val="0080556A"/>
    <w:rsid w:val="008055FA"/>
    <w:rsid w:val="0080703A"/>
    <w:rsid w:val="00807A32"/>
    <w:rsid w:val="00810031"/>
    <w:rsid w:val="0081059D"/>
    <w:rsid w:val="0081062B"/>
    <w:rsid w:val="00810A2D"/>
    <w:rsid w:val="00811DBE"/>
    <w:rsid w:val="00814A11"/>
    <w:rsid w:val="00815236"/>
    <w:rsid w:val="00815A43"/>
    <w:rsid w:val="00816B19"/>
    <w:rsid w:val="00817B8B"/>
    <w:rsid w:val="0082096C"/>
    <w:rsid w:val="00820FAF"/>
    <w:rsid w:val="008219D2"/>
    <w:rsid w:val="0082354A"/>
    <w:rsid w:val="008237B1"/>
    <w:rsid w:val="00823845"/>
    <w:rsid w:val="00823E52"/>
    <w:rsid w:val="0082448D"/>
    <w:rsid w:val="00824E5A"/>
    <w:rsid w:val="008251CB"/>
    <w:rsid w:val="00827282"/>
    <w:rsid w:val="008272C3"/>
    <w:rsid w:val="0083169D"/>
    <w:rsid w:val="008359ED"/>
    <w:rsid w:val="00835E4F"/>
    <w:rsid w:val="008361C8"/>
    <w:rsid w:val="0083735C"/>
    <w:rsid w:val="00837789"/>
    <w:rsid w:val="008405A8"/>
    <w:rsid w:val="00840D59"/>
    <w:rsid w:val="00841BA2"/>
    <w:rsid w:val="00842727"/>
    <w:rsid w:val="00845186"/>
    <w:rsid w:val="00845F16"/>
    <w:rsid w:val="00846708"/>
    <w:rsid w:val="00846BA6"/>
    <w:rsid w:val="00846C6A"/>
    <w:rsid w:val="008470B4"/>
    <w:rsid w:val="0085076F"/>
    <w:rsid w:val="008543E5"/>
    <w:rsid w:val="008559E2"/>
    <w:rsid w:val="00855FBE"/>
    <w:rsid w:val="00856188"/>
    <w:rsid w:val="008579A3"/>
    <w:rsid w:val="008605A2"/>
    <w:rsid w:val="00860A04"/>
    <w:rsid w:val="008617DD"/>
    <w:rsid w:val="00863290"/>
    <w:rsid w:val="008638C8"/>
    <w:rsid w:val="008639F8"/>
    <w:rsid w:val="008646F3"/>
    <w:rsid w:val="00864A93"/>
    <w:rsid w:val="00865994"/>
    <w:rsid w:val="00866392"/>
    <w:rsid w:val="0086773D"/>
    <w:rsid w:val="008704F6"/>
    <w:rsid w:val="0087090B"/>
    <w:rsid w:val="00871214"/>
    <w:rsid w:val="0087229C"/>
    <w:rsid w:val="0087265D"/>
    <w:rsid w:val="008730B0"/>
    <w:rsid w:val="008769A0"/>
    <w:rsid w:val="00880D0C"/>
    <w:rsid w:val="00882325"/>
    <w:rsid w:val="008828EC"/>
    <w:rsid w:val="008835C8"/>
    <w:rsid w:val="00886A65"/>
    <w:rsid w:val="00886CF6"/>
    <w:rsid w:val="00887066"/>
    <w:rsid w:val="008879C6"/>
    <w:rsid w:val="00887BC0"/>
    <w:rsid w:val="00887D64"/>
    <w:rsid w:val="00887FC3"/>
    <w:rsid w:val="00890E56"/>
    <w:rsid w:val="008914DC"/>
    <w:rsid w:val="0089154B"/>
    <w:rsid w:val="008921EC"/>
    <w:rsid w:val="00894104"/>
    <w:rsid w:val="00894322"/>
    <w:rsid w:val="00895201"/>
    <w:rsid w:val="008968F3"/>
    <w:rsid w:val="008969D0"/>
    <w:rsid w:val="008A2B3E"/>
    <w:rsid w:val="008A3553"/>
    <w:rsid w:val="008A3B3D"/>
    <w:rsid w:val="008A4591"/>
    <w:rsid w:val="008B276E"/>
    <w:rsid w:val="008B2AE0"/>
    <w:rsid w:val="008B3254"/>
    <w:rsid w:val="008B4587"/>
    <w:rsid w:val="008B4B83"/>
    <w:rsid w:val="008B5049"/>
    <w:rsid w:val="008B5AEE"/>
    <w:rsid w:val="008B5EFB"/>
    <w:rsid w:val="008C15A8"/>
    <w:rsid w:val="008C1F7E"/>
    <w:rsid w:val="008C22F7"/>
    <w:rsid w:val="008C3BF4"/>
    <w:rsid w:val="008C7A18"/>
    <w:rsid w:val="008D0608"/>
    <w:rsid w:val="008D2050"/>
    <w:rsid w:val="008D28A4"/>
    <w:rsid w:val="008D4705"/>
    <w:rsid w:val="008D4A94"/>
    <w:rsid w:val="008D4AF5"/>
    <w:rsid w:val="008D5584"/>
    <w:rsid w:val="008D65D6"/>
    <w:rsid w:val="008D6856"/>
    <w:rsid w:val="008D7178"/>
    <w:rsid w:val="008D71CB"/>
    <w:rsid w:val="008D7522"/>
    <w:rsid w:val="008D7AED"/>
    <w:rsid w:val="008E046C"/>
    <w:rsid w:val="008E0688"/>
    <w:rsid w:val="008E06E5"/>
    <w:rsid w:val="008E18D4"/>
    <w:rsid w:val="008E1A44"/>
    <w:rsid w:val="008E1AB5"/>
    <w:rsid w:val="008E2752"/>
    <w:rsid w:val="008E399E"/>
    <w:rsid w:val="008E4353"/>
    <w:rsid w:val="008E599B"/>
    <w:rsid w:val="008E5C7C"/>
    <w:rsid w:val="008E6052"/>
    <w:rsid w:val="008E6C77"/>
    <w:rsid w:val="008E6DC3"/>
    <w:rsid w:val="008E72D1"/>
    <w:rsid w:val="008E75B9"/>
    <w:rsid w:val="008E7C32"/>
    <w:rsid w:val="008F076E"/>
    <w:rsid w:val="008F0CEF"/>
    <w:rsid w:val="008F1106"/>
    <w:rsid w:val="008F4928"/>
    <w:rsid w:val="008F5C73"/>
    <w:rsid w:val="008F5FA2"/>
    <w:rsid w:val="008F778B"/>
    <w:rsid w:val="008F7D47"/>
    <w:rsid w:val="0090004D"/>
    <w:rsid w:val="00901045"/>
    <w:rsid w:val="00901D0E"/>
    <w:rsid w:val="00901FB8"/>
    <w:rsid w:val="00902252"/>
    <w:rsid w:val="009025CF"/>
    <w:rsid w:val="0090296A"/>
    <w:rsid w:val="0090335C"/>
    <w:rsid w:val="009041DD"/>
    <w:rsid w:val="0090621B"/>
    <w:rsid w:val="00906B9D"/>
    <w:rsid w:val="00906DF8"/>
    <w:rsid w:val="009126FC"/>
    <w:rsid w:val="00912739"/>
    <w:rsid w:val="00912A92"/>
    <w:rsid w:val="00916477"/>
    <w:rsid w:val="00917228"/>
    <w:rsid w:val="0092131C"/>
    <w:rsid w:val="00923119"/>
    <w:rsid w:val="00923379"/>
    <w:rsid w:val="00923EE0"/>
    <w:rsid w:val="0092563D"/>
    <w:rsid w:val="00925913"/>
    <w:rsid w:val="00925D6C"/>
    <w:rsid w:val="00926192"/>
    <w:rsid w:val="0092669F"/>
    <w:rsid w:val="00926802"/>
    <w:rsid w:val="0092683D"/>
    <w:rsid w:val="009318EF"/>
    <w:rsid w:val="00931E04"/>
    <w:rsid w:val="009342C4"/>
    <w:rsid w:val="00934694"/>
    <w:rsid w:val="00937748"/>
    <w:rsid w:val="00942335"/>
    <w:rsid w:val="0094377C"/>
    <w:rsid w:val="00944B6C"/>
    <w:rsid w:val="00945076"/>
    <w:rsid w:val="00947B33"/>
    <w:rsid w:val="00952894"/>
    <w:rsid w:val="009528C1"/>
    <w:rsid w:val="00952F23"/>
    <w:rsid w:val="00953121"/>
    <w:rsid w:val="00953DB9"/>
    <w:rsid w:val="00953E37"/>
    <w:rsid w:val="009541CD"/>
    <w:rsid w:val="0095427F"/>
    <w:rsid w:val="00956868"/>
    <w:rsid w:val="00956B9C"/>
    <w:rsid w:val="00956CE6"/>
    <w:rsid w:val="00957C55"/>
    <w:rsid w:val="00960170"/>
    <w:rsid w:val="00960230"/>
    <w:rsid w:val="0096119C"/>
    <w:rsid w:val="00961BA9"/>
    <w:rsid w:val="00961EF4"/>
    <w:rsid w:val="009628A1"/>
    <w:rsid w:val="00962FA9"/>
    <w:rsid w:val="00963135"/>
    <w:rsid w:val="009632FA"/>
    <w:rsid w:val="00965041"/>
    <w:rsid w:val="00967D85"/>
    <w:rsid w:val="0097070D"/>
    <w:rsid w:val="00971C23"/>
    <w:rsid w:val="009731FF"/>
    <w:rsid w:val="00974F10"/>
    <w:rsid w:val="0097544E"/>
    <w:rsid w:val="0097604F"/>
    <w:rsid w:val="00976C1E"/>
    <w:rsid w:val="009777A5"/>
    <w:rsid w:val="00977985"/>
    <w:rsid w:val="009779ED"/>
    <w:rsid w:val="00980D01"/>
    <w:rsid w:val="00981792"/>
    <w:rsid w:val="00981BD2"/>
    <w:rsid w:val="00985109"/>
    <w:rsid w:val="00985B89"/>
    <w:rsid w:val="00986F58"/>
    <w:rsid w:val="00990895"/>
    <w:rsid w:val="009911E2"/>
    <w:rsid w:val="00991426"/>
    <w:rsid w:val="00992334"/>
    <w:rsid w:val="009926E7"/>
    <w:rsid w:val="00992B07"/>
    <w:rsid w:val="009943AE"/>
    <w:rsid w:val="0099679F"/>
    <w:rsid w:val="00996FDE"/>
    <w:rsid w:val="0099733D"/>
    <w:rsid w:val="00997C54"/>
    <w:rsid w:val="009A05F9"/>
    <w:rsid w:val="009A274F"/>
    <w:rsid w:val="009A46F5"/>
    <w:rsid w:val="009A47D8"/>
    <w:rsid w:val="009A5082"/>
    <w:rsid w:val="009B1131"/>
    <w:rsid w:val="009B1F38"/>
    <w:rsid w:val="009B2E20"/>
    <w:rsid w:val="009B2FDD"/>
    <w:rsid w:val="009B443B"/>
    <w:rsid w:val="009B4778"/>
    <w:rsid w:val="009B47E1"/>
    <w:rsid w:val="009B4864"/>
    <w:rsid w:val="009B4997"/>
    <w:rsid w:val="009B6BBA"/>
    <w:rsid w:val="009B6DC7"/>
    <w:rsid w:val="009C0BC3"/>
    <w:rsid w:val="009C1E9D"/>
    <w:rsid w:val="009C41FB"/>
    <w:rsid w:val="009C438E"/>
    <w:rsid w:val="009C462E"/>
    <w:rsid w:val="009C4F8B"/>
    <w:rsid w:val="009C51B7"/>
    <w:rsid w:val="009D0B5C"/>
    <w:rsid w:val="009D1040"/>
    <w:rsid w:val="009D3306"/>
    <w:rsid w:val="009D3C95"/>
    <w:rsid w:val="009D4EFC"/>
    <w:rsid w:val="009D5B1B"/>
    <w:rsid w:val="009D646A"/>
    <w:rsid w:val="009D6F58"/>
    <w:rsid w:val="009E1210"/>
    <w:rsid w:val="009E1540"/>
    <w:rsid w:val="009E18A9"/>
    <w:rsid w:val="009E245E"/>
    <w:rsid w:val="009E26A6"/>
    <w:rsid w:val="009E380D"/>
    <w:rsid w:val="009E480C"/>
    <w:rsid w:val="009E4D85"/>
    <w:rsid w:val="009E5424"/>
    <w:rsid w:val="009E5CF1"/>
    <w:rsid w:val="009E60C6"/>
    <w:rsid w:val="009E6CF6"/>
    <w:rsid w:val="009F0830"/>
    <w:rsid w:val="009F0B2C"/>
    <w:rsid w:val="009F0E49"/>
    <w:rsid w:val="009F144B"/>
    <w:rsid w:val="009F2547"/>
    <w:rsid w:val="009F2F2F"/>
    <w:rsid w:val="009F656A"/>
    <w:rsid w:val="009F65B4"/>
    <w:rsid w:val="009F6B5E"/>
    <w:rsid w:val="009F7CB5"/>
    <w:rsid w:val="009F7E28"/>
    <w:rsid w:val="00A001C5"/>
    <w:rsid w:val="00A00FB2"/>
    <w:rsid w:val="00A0147E"/>
    <w:rsid w:val="00A03987"/>
    <w:rsid w:val="00A04B16"/>
    <w:rsid w:val="00A04E4C"/>
    <w:rsid w:val="00A05475"/>
    <w:rsid w:val="00A0553E"/>
    <w:rsid w:val="00A060B6"/>
    <w:rsid w:val="00A06689"/>
    <w:rsid w:val="00A070F2"/>
    <w:rsid w:val="00A0761D"/>
    <w:rsid w:val="00A07D46"/>
    <w:rsid w:val="00A10228"/>
    <w:rsid w:val="00A11602"/>
    <w:rsid w:val="00A12A78"/>
    <w:rsid w:val="00A1367B"/>
    <w:rsid w:val="00A14445"/>
    <w:rsid w:val="00A207BE"/>
    <w:rsid w:val="00A21499"/>
    <w:rsid w:val="00A21818"/>
    <w:rsid w:val="00A220D0"/>
    <w:rsid w:val="00A220DF"/>
    <w:rsid w:val="00A24423"/>
    <w:rsid w:val="00A25D02"/>
    <w:rsid w:val="00A261F0"/>
    <w:rsid w:val="00A26432"/>
    <w:rsid w:val="00A26E9C"/>
    <w:rsid w:val="00A26F0A"/>
    <w:rsid w:val="00A27284"/>
    <w:rsid w:val="00A3003F"/>
    <w:rsid w:val="00A31375"/>
    <w:rsid w:val="00A3229C"/>
    <w:rsid w:val="00A33760"/>
    <w:rsid w:val="00A345AC"/>
    <w:rsid w:val="00A346B6"/>
    <w:rsid w:val="00A34987"/>
    <w:rsid w:val="00A34AAF"/>
    <w:rsid w:val="00A357BB"/>
    <w:rsid w:val="00A36011"/>
    <w:rsid w:val="00A36199"/>
    <w:rsid w:val="00A3661A"/>
    <w:rsid w:val="00A3752B"/>
    <w:rsid w:val="00A402AA"/>
    <w:rsid w:val="00A40302"/>
    <w:rsid w:val="00A40C15"/>
    <w:rsid w:val="00A41DA0"/>
    <w:rsid w:val="00A42A89"/>
    <w:rsid w:val="00A42B57"/>
    <w:rsid w:val="00A43239"/>
    <w:rsid w:val="00A43669"/>
    <w:rsid w:val="00A43C05"/>
    <w:rsid w:val="00A449AB"/>
    <w:rsid w:val="00A45211"/>
    <w:rsid w:val="00A454A1"/>
    <w:rsid w:val="00A458AA"/>
    <w:rsid w:val="00A50C0A"/>
    <w:rsid w:val="00A5102B"/>
    <w:rsid w:val="00A52B95"/>
    <w:rsid w:val="00A558E1"/>
    <w:rsid w:val="00A5626E"/>
    <w:rsid w:val="00A5780D"/>
    <w:rsid w:val="00A60F80"/>
    <w:rsid w:val="00A610D9"/>
    <w:rsid w:val="00A61771"/>
    <w:rsid w:val="00A639D5"/>
    <w:rsid w:val="00A645B7"/>
    <w:rsid w:val="00A64919"/>
    <w:rsid w:val="00A65A03"/>
    <w:rsid w:val="00A66B50"/>
    <w:rsid w:val="00A66F17"/>
    <w:rsid w:val="00A7031D"/>
    <w:rsid w:val="00A7039A"/>
    <w:rsid w:val="00A7133D"/>
    <w:rsid w:val="00A72813"/>
    <w:rsid w:val="00A73187"/>
    <w:rsid w:val="00A73AD5"/>
    <w:rsid w:val="00A73D3E"/>
    <w:rsid w:val="00A73D5B"/>
    <w:rsid w:val="00A75B55"/>
    <w:rsid w:val="00A76FC0"/>
    <w:rsid w:val="00A7782C"/>
    <w:rsid w:val="00A77C3D"/>
    <w:rsid w:val="00A80AE9"/>
    <w:rsid w:val="00A80CCD"/>
    <w:rsid w:val="00A81F23"/>
    <w:rsid w:val="00A83430"/>
    <w:rsid w:val="00A849CD"/>
    <w:rsid w:val="00A84A37"/>
    <w:rsid w:val="00A8568A"/>
    <w:rsid w:val="00A85D57"/>
    <w:rsid w:val="00A8715C"/>
    <w:rsid w:val="00A9012E"/>
    <w:rsid w:val="00A90E64"/>
    <w:rsid w:val="00A90FFE"/>
    <w:rsid w:val="00A9196D"/>
    <w:rsid w:val="00A919FB"/>
    <w:rsid w:val="00A91E5E"/>
    <w:rsid w:val="00A94D04"/>
    <w:rsid w:val="00A9582A"/>
    <w:rsid w:val="00A96844"/>
    <w:rsid w:val="00A9764A"/>
    <w:rsid w:val="00A97B5D"/>
    <w:rsid w:val="00AA0D7F"/>
    <w:rsid w:val="00AA2663"/>
    <w:rsid w:val="00AA2AF8"/>
    <w:rsid w:val="00AA2E26"/>
    <w:rsid w:val="00AA36B8"/>
    <w:rsid w:val="00AA6C68"/>
    <w:rsid w:val="00AB2779"/>
    <w:rsid w:val="00AB3070"/>
    <w:rsid w:val="00AB3152"/>
    <w:rsid w:val="00AB3636"/>
    <w:rsid w:val="00AB54FF"/>
    <w:rsid w:val="00AB61CE"/>
    <w:rsid w:val="00AB7599"/>
    <w:rsid w:val="00AB7960"/>
    <w:rsid w:val="00AB7CD7"/>
    <w:rsid w:val="00AC0907"/>
    <w:rsid w:val="00AC1B08"/>
    <w:rsid w:val="00AC36E1"/>
    <w:rsid w:val="00AC486E"/>
    <w:rsid w:val="00AC5C7C"/>
    <w:rsid w:val="00AC743B"/>
    <w:rsid w:val="00AD1CB2"/>
    <w:rsid w:val="00AD2940"/>
    <w:rsid w:val="00AD2A63"/>
    <w:rsid w:val="00AD3702"/>
    <w:rsid w:val="00AD38EC"/>
    <w:rsid w:val="00AD530E"/>
    <w:rsid w:val="00AD5624"/>
    <w:rsid w:val="00AD5AD6"/>
    <w:rsid w:val="00AD7179"/>
    <w:rsid w:val="00AD7417"/>
    <w:rsid w:val="00AD7507"/>
    <w:rsid w:val="00AD7D06"/>
    <w:rsid w:val="00AE03A5"/>
    <w:rsid w:val="00AE05F9"/>
    <w:rsid w:val="00AE0DC2"/>
    <w:rsid w:val="00AE138F"/>
    <w:rsid w:val="00AE1CF6"/>
    <w:rsid w:val="00AE1D43"/>
    <w:rsid w:val="00AE219A"/>
    <w:rsid w:val="00AE226B"/>
    <w:rsid w:val="00AE2280"/>
    <w:rsid w:val="00AE261F"/>
    <w:rsid w:val="00AE2F87"/>
    <w:rsid w:val="00AE3843"/>
    <w:rsid w:val="00AE398E"/>
    <w:rsid w:val="00AE4A5B"/>
    <w:rsid w:val="00AE7C35"/>
    <w:rsid w:val="00AF00B1"/>
    <w:rsid w:val="00AF165E"/>
    <w:rsid w:val="00AF1F2F"/>
    <w:rsid w:val="00AF4721"/>
    <w:rsid w:val="00AF5402"/>
    <w:rsid w:val="00AF59C1"/>
    <w:rsid w:val="00AF65B9"/>
    <w:rsid w:val="00AF7A00"/>
    <w:rsid w:val="00B0130F"/>
    <w:rsid w:val="00B01CF5"/>
    <w:rsid w:val="00B0213F"/>
    <w:rsid w:val="00B029B0"/>
    <w:rsid w:val="00B035FA"/>
    <w:rsid w:val="00B066F5"/>
    <w:rsid w:val="00B06D14"/>
    <w:rsid w:val="00B07410"/>
    <w:rsid w:val="00B117CE"/>
    <w:rsid w:val="00B11930"/>
    <w:rsid w:val="00B11F3F"/>
    <w:rsid w:val="00B124D5"/>
    <w:rsid w:val="00B13562"/>
    <w:rsid w:val="00B14126"/>
    <w:rsid w:val="00B14A25"/>
    <w:rsid w:val="00B160EB"/>
    <w:rsid w:val="00B16416"/>
    <w:rsid w:val="00B21585"/>
    <w:rsid w:val="00B22A12"/>
    <w:rsid w:val="00B23AAB"/>
    <w:rsid w:val="00B23CA0"/>
    <w:rsid w:val="00B2446A"/>
    <w:rsid w:val="00B27078"/>
    <w:rsid w:val="00B30234"/>
    <w:rsid w:val="00B31E62"/>
    <w:rsid w:val="00B34070"/>
    <w:rsid w:val="00B34696"/>
    <w:rsid w:val="00B34895"/>
    <w:rsid w:val="00B34A4E"/>
    <w:rsid w:val="00B351F8"/>
    <w:rsid w:val="00B353A0"/>
    <w:rsid w:val="00B35A42"/>
    <w:rsid w:val="00B411F6"/>
    <w:rsid w:val="00B41C96"/>
    <w:rsid w:val="00B43C34"/>
    <w:rsid w:val="00B43DCD"/>
    <w:rsid w:val="00B445CB"/>
    <w:rsid w:val="00B447AD"/>
    <w:rsid w:val="00B44B4C"/>
    <w:rsid w:val="00B451C0"/>
    <w:rsid w:val="00B45AD7"/>
    <w:rsid w:val="00B46015"/>
    <w:rsid w:val="00B469E3"/>
    <w:rsid w:val="00B469F6"/>
    <w:rsid w:val="00B46F3D"/>
    <w:rsid w:val="00B4705B"/>
    <w:rsid w:val="00B471AA"/>
    <w:rsid w:val="00B50588"/>
    <w:rsid w:val="00B50FB9"/>
    <w:rsid w:val="00B50FCC"/>
    <w:rsid w:val="00B52A73"/>
    <w:rsid w:val="00B52C0C"/>
    <w:rsid w:val="00B5489F"/>
    <w:rsid w:val="00B621A4"/>
    <w:rsid w:val="00B632DC"/>
    <w:rsid w:val="00B63C97"/>
    <w:rsid w:val="00B644BA"/>
    <w:rsid w:val="00B64B71"/>
    <w:rsid w:val="00B657EC"/>
    <w:rsid w:val="00B671AB"/>
    <w:rsid w:val="00B67496"/>
    <w:rsid w:val="00B7002D"/>
    <w:rsid w:val="00B709C9"/>
    <w:rsid w:val="00B70AD4"/>
    <w:rsid w:val="00B70E74"/>
    <w:rsid w:val="00B7121C"/>
    <w:rsid w:val="00B71B82"/>
    <w:rsid w:val="00B72AE8"/>
    <w:rsid w:val="00B73534"/>
    <w:rsid w:val="00B74067"/>
    <w:rsid w:val="00B771FA"/>
    <w:rsid w:val="00B772A7"/>
    <w:rsid w:val="00B80B8F"/>
    <w:rsid w:val="00B80C8A"/>
    <w:rsid w:val="00B80ED3"/>
    <w:rsid w:val="00B8178E"/>
    <w:rsid w:val="00B829D2"/>
    <w:rsid w:val="00B842D2"/>
    <w:rsid w:val="00B842E2"/>
    <w:rsid w:val="00B84D2F"/>
    <w:rsid w:val="00B84E87"/>
    <w:rsid w:val="00B8599D"/>
    <w:rsid w:val="00B85B13"/>
    <w:rsid w:val="00B86253"/>
    <w:rsid w:val="00B864AD"/>
    <w:rsid w:val="00B86909"/>
    <w:rsid w:val="00B86A70"/>
    <w:rsid w:val="00B86CDE"/>
    <w:rsid w:val="00B87986"/>
    <w:rsid w:val="00B91475"/>
    <w:rsid w:val="00B9240A"/>
    <w:rsid w:val="00B92BF6"/>
    <w:rsid w:val="00B93080"/>
    <w:rsid w:val="00B93086"/>
    <w:rsid w:val="00B9332B"/>
    <w:rsid w:val="00B9421D"/>
    <w:rsid w:val="00B9433B"/>
    <w:rsid w:val="00B94C36"/>
    <w:rsid w:val="00B95269"/>
    <w:rsid w:val="00B96605"/>
    <w:rsid w:val="00B97394"/>
    <w:rsid w:val="00BA0818"/>
    <w:rsid w:val="00BA089A"/>
    <w:rsid w:val="00BA0A6A"/>
    <w:rsid w:val="00BA2121"/>
    <w:rsid w:val="00BA246A"/>
    <w:rsid w:val="00BA26BD"/>
    <w:rsid w:val="00BA28C4"/>
    <w:rsid w:val="00BA312F"/>
    <w:rsid w:val="00BA32F3"/>
    <w:rsid w:val="00BA3B3E"/>
    <w:rsid w:val="00BA4756"/>
    <w:rsid w:val="00BA5661"/>
    <w:rsid w:val="00BA5FD8"/>
    <w:rsid w:val="00BA6A77"/>
    <w:rsid w:val="00BB0757"/>
    <w:rsid w:val="00BB0F47"/>
    <w:rsid w:val="00BB1546"/>
    <w:rsid w:val="00BB164F"/>
    <w:rsid w:val="00BB3A71"/>
    <w:rsid w:val="00BB46D6"/>
    <w:rsid w:val="00BB4B10"/>
    <w:rsid w:val="00BB5717"/>
    <w:rsid w:val="00BB5CA0"/>
    <w:rsid w:val="00BB7410"/>
    <w:rsid w:val="00BC0468"/>
    <w:rsid w:val="00BC0829"/>
    <w:rsid w:val="00BC082F"/>
    <w:rsid w:val="00BC0D22"/>
    <w:rsid w:val="00BC0F32"/>
    <w:rsid w:val="00BC123E"/>
    <w:rsid w:val="00BC2806"/>
    <w:rsid w:val="00BC3B37"/>
    <w:rsid w:val="00BC42F7"/>
    <w:rsid w:val="00BC495B"/>
    <w:rsid w:val="00BC535B"/>
    <w:rsid w:val="00BC5E07"/>
    <w:rsid w:val="00BC79CB"/>
    <w:rsid w:val="00BD03CB"/>
    <w:rsid w:val="00BD051A"/>
    <w:rsid w:val="00BD084F"/>
    <w:rsid w:val="00BD098F"/>
    <w:rsid w:val="00BD0E9E"/>
    <w:rsid w:val="00BD1362"/>
    <w:rsid w:val="00BD4E90"/>
    <w:rsid w:val="00BD5196"/>
    <w:rsid w:val="00BD53A3"/>
    <w:rsid w:val="00BD60C1"/>
    <w:rsid w:val="00BE5ED9"/>
    <w:rsid w:val="00BF29CA"/>
    <w:rsid w:val="00BF362C"/>
    <w:rsid w:val="00BF3DF7"/>
    <w:rsid w:val="00BF3EAB"/>
    <w:rsid w:val="00BF4BA9"/>
    <w:rsid w:val="00BF4E87"/>
    <w:rsid w:val="00BF52C1"/>
    <w:rsid w:val="00BF58D9"/>
    <w:rsid w:val="00BF5B69"/>
    <w:rsid w:val="00BF61D3"/>
    <w:rsid w:val="00BF71E5"/>
    <w:rsid w:val="00BF7924"/>
    <w:rsid w:val="00BF7ADF"/>
    <w:rsid w:val="00C03379"/>
    <w:rsid w:val="00C0471C"/>
    <w:rsid w:val="00C0594A"/>
    <w:rsid w:val="00C065A3"/>
    <w:rsid w:val="00C06E8E"/>
    <w:rsid w:val="00C06FC8"/>
    <w:rsid w:val="00C12B1D"/>
    <w:rsid w:val="00C1349F"/>
    <w:rsid w:val="00C15620"/>
    <w:rsid w:val="00C15CEC"/>
    <w:rsid w:val="00C15F9E"/>
    <w:rsid w:val="00C16A4E"/>
    <w:rsid w:val="00C20603"/>
    <w:rsid w:val="00C21011"/>
    <w:rsid w:val="00C2123B"/>
    <w:rsid w:val="00C22523"/>
    <w:rsid w:val="00C22C2A"/>
    <w:rsid w:val="00C23D1D"/>
    <w:rsid w:val="00C25BFD"/>
    <w:rsid w:val="00C25E6B"/>
    <w:rsid w:val="00C25F13"/>
    <w:rsid w:val="00C26A84"/>
    <w:rsid w:val="00C27803"/>
    <w:rsid w:val="00C30817"/>
    <w:rsid w:val="00C31678"/>
    <w:rsid w:val="00C32B87"/>
    <w:rsid w:val="00C336CF"/>
    <w:rsid w:val="00C33BB3"/>
    <w:rsid w:val="00C36927"/>
    <w:rsid w:val="00C36A9B"/>
    <w:rsid w:val="00C36BBB"/>
    <w:rsid w:val="00C37779"/>
    <w:rsid w:val="00C406BD"/>
    <w:rsid w:val="00C41E5F"/>
    <w:rsid w:val="00C41F48"/>
    <w:rsid w:val="00C43118"/>
    <w:rsid w:val="00C432AE"/>
    <w:rsid w:val="00C44709"/>
    <w:rsid w:val="00C470E8"/>
    <w:rsid w:val="00C4780D"/>
    <w:rsid w:val="00C531A8"/>
    <w:rsid w:val="00C54817"/>
    <w:rsid w:val="00C5523E"/>
    <w:rsid w:val="00C5575B"/>
    <w:rsid w:val="00C56FAB"/>
    <w:rsid w:val="00C6136C"/>
    <w:rsid w:val="00C61998"/>
    <w:rsid w:val="00C652FB"/>
    <w:rsid w:val="00C66234"/>
    <w:rsid w:val="00C6631D"/>
    <w:rsid w:val="00C679FB"/>
    <w:rsid w:val="00C67C40"/>
    <w:rsid w:val="00C70078"/>
    <w:rsid w:val="00C7024E"/>
    <w:rsid w:val="00C70A43"/>
    <w:rsid w:val="00C713E2"/>
    <w:rsid w:val="00C7185F"/>
    <w:rsid w:val="00C718AF"/>
    <w:rsid w:val="00C71C47"/>
    <w:rsid w:val="00C734C0"/>
    <w:rsid w:val="00C741F5"/>
    <w:rsid w:val="00C74439"/>
    <w:rsid w:val="00C754AD"/>
    <w:rsid w:val="00C7592F"/>
    <w:rsid w:val="00C7665B"/>
    <w:rsid w:val="00C76818"/>
    <w:rsid w:val="00C77A62"/>
    <w:rsid w:val="00C82B0E"/>
    <w:rsid w:val="00C84140"/>
    <w:rsid w:val="00C85139"/>
    <w:rsid w:val="00C85DB1"/>
    <w:rsid w:val="00C86F1E"/>
    <w:rsid w:val="00C8784F"/>
    <w:rsid w:val="00C87857"/>
    <w:rsid w:val="00C87CEC"/>
    <w:rsid w:val="00C915BD"/>
    <w:rsid w:val="00C940BF"/>
    <w:rsid w:val="00C94FDE"/>
    <w:rsid w:val="00C96941"/>
    <w:rsid w:val="00C96F41"/>
    <w:rsid w:val="00C97DCC"/>
    <w:rsid w:val="00C97DFA"/>
    <w:rsid w:val="00CA01F8"/>
    <w:rsid w:val="00CA05F4"/>
    <w:rsid w:val="00CA50C8"/>
    <w:rsid w:val="00CA55EA"/>
    <w:rsid w:val="00CA5F7D"/>
    <w:rsid w:val="00CA5FFE"/>
    <w:rsid w:val="00CA606F"/>
    <w:rsid w:val="00CA67AB"/>
    <w:rsid w:val="00CA69B9"/>
    <w:rsid w:val="00CA6ED1"/>
    <w:rsid w:val="00CB06E9"/>
    <w:rsid w:val="00CB081E"/>
    <w:rsid w:val="00CB1D4F"/>
    <w:rsid w:val="00CB4D4A"/>
    <w:rsid w:val="00CB50EE"/>
    <w:rsid w:val="00CB7F4F"/>
    <w:rsid w:val="00CB7FE8"/>
    <w:rsid w:val="00CC0183"/>
    <w:rsid w:val="00CC01B6"/>
    <w:rsid w:val="00CC09C4"/>
    <w:rsid w:val="00CC0A2D"/>
    <w:rsid w:val="00CC0B84"/>
    <w:rsid w:val="00CC0EC3"/>
    <w:rsid w:val="00CC2346"/>
    <w:rsid w:val="00CC2D27"/>
    <w:rsid w:val="00CC3B41"/>
    <w:rsid w:val="00CC4771"/>
    <w:rsid w:val="00CC5ACB"/>
    <w:rsid w:val="00CC745E"/>
    <w:rsid w:val="00CC7A32"/>
    <w:rsid w:val="00CD0A72"/>
    <w:rsid w:val="00CD0CA4"/>
    <w:rsid w:val="00CD12ED"/>
    <w:rsid w:val="00CD130E"/>
    <w:rsid w:val="00CD2B09"/>
    <w:rsid w:val="00CD357B"/>
    <w:rsid w:val="00CD464E"/>
    <w:rsid w:val="00CD471C"/>
    <w:rsid w:val="00CD5039"/>
    <w:rsid w:val="00CD62F2"/>
    <w:rsid w:val="00CD7A69"/>
    <w:rsid w:val="00CE0001"/>
    <w:rsid w:val="00CE1353"/>
    <w:rsid w:val="00CE3827"/>
    <w:rsid w:val="00CE3C19"/>
    <w:rsid w:val="00CE3E04"/>
    <w:rsid w:val="00CE4C28"/>
    <w:rsid w:val="00CE4C69"/>
    <w:rsid w:val="00CE6B3A"/>
    <w:rsid w:val="00CF08EC"/>
    <w:rsid w:val="00CF0EE1"/>
    <w:rsid w:val="00CF22EC"/>
    <w:rsid w:val="00CF3676"/>
    <w:rsid w:val="00CF3701"/>
    <w:rsid w:val="00CF3AF5"/>
    <w:rsid w:val="00CF4ADA"/>
    <w:rsid w:val="00CF56A6"/>
    <w:rsid w:val="00CF676C"/>
    <w:rsid w:val="00CF6FAF"/>
    <w:rsid w:val="00D0058A"/>
    <w:rsid w:val="00D028A3"/>
    <w:rsid w:val="00D0324C"/>
    <w:rsid w:val="00D035B0"/>
    <w:rsid w:val="00D04272"/>
    <w:rsid w:val="00D06211"/>
    <w:rsid w:val="00D066F8"/>
    <w:rsid w:val="00D0749A"/>
    <w:rsid w:val="00D11082"/>
    <w:rsid w:val="00D124C8"/>
    <w:rsid w:val="00D1521D"/>
    <w:rsid w:val="00D15B75"/>
    <w:rsid w:val="00D15C6A"/>
    <w:rsid w:val="00D15EA9"/>
    <w:rsid w:val="00D1626A"/>
    <w:rsid w:val="00D16419"/>
    <w:rsid w:val="00D2175D"/>
    <w:rsid w:val="00D22598"/>
    <w:rsid w:val="00D22FE7"/>
    <w:rsid w:val="00D23F5C"/>
    <w:rsid w:val="00D2559E"/>
    <w:rsid w:val="00D25831"/>
    <w:rsid w:val="00D25A53"/>
    <w:rsid w:val="00D264A0"/>
    <w:rsid w:val="00D26728"/>
    <w:rsid w:val="00D26DBE"/>
    <w:rsid w:val="00D27971"/>
    <w:rsid w:val="00D27CAE"/>
    <w:rsid w:val="00D300B8"/>
    <w:rsid w:val="00D30FF4"/>
    <w:rsid w:val="00D31832"/>
    <w:rsid w:val="00D32813"/>
    <w:rsid w:val="00D334CC"/>
    <w:rsid w:val="00D33E24"/>
    <w:rsid w:val="00D35A39"/>
    <w:rsid w:val="00D35FDD"/>
    <w:rsid w:val="00D36A72"/>
    <w:rsid w:val="00D37E9C"/>
    <w:rsid w:val="00D40067"/>
    <w:rsid w:val="00D40519"/>
    <w:rsid w:val="00D4078F"/>
    <w:rsid w:val="00D40904"/>
    <w:rsid w:val="00D41B9C"/>
    <w:rsid w:val="00D41E84"/>
    <w:rsid w:val="00D422D0"/>
    <w:rsid w:val="00D42969"/>
    <w:rsid w:val="00D429D4"/>
    <w:rsid w:val="00D42E32"/>
    <w:rsid w:val="00D42EB0"/>
    <w:rsid w:val="00D42FC0"/>
    <w:rsid w:val="00D4449D"/>
    <w:rsid w:val="00D44562"/>
    <w:rsid w:val="00D45224"/>
    <w:rsid w:val="00D46051"/>
    <w:rsid w:val="00D46DC0"/>
    <w:rsid w:val="00D47195"/>
    <w:rsid w:val="00D475C1"/>
    <w:rsid w:val="00D4760C"/>
    <w:rsid w:val="00D501FF"/>
    <w:rsid w:val="00D54EB3"/>
    <w:rsid w:val="00D54EC9"/>
    <w:rsid w:val="00D554D8"/>
    <w:rsid w:val="00D55C26"/>
    <w:rsid w:val="00D55C27"/>
    <w:rsid w:val="00D5600C"/>
    <w:rsid w:val="00D56F5C"/>
    <w:rsid w:val="00D5748B"/>
    <w:rsid w:val="00D57627"/>
    <w:rsid w:val="00D57C80"/>
    <w:rsid w:val="00D61112"/>
    <w:rsid w:val="00D6139B"/>
    <w:rsid w:val="00D61831"/>
    <w:rsid w:val="00D619E0"/>
    <w:rsid w:val="00D61F9E"/>
    <w:rsid w:val="00D625CA"/>
    <w:rsid w:val="00D64B01"/>
    <w:rsid w:val="00D64C8E"/>
    <w:rsid w:val="00D64CAB"/>
    <w:rsid w:val="00D67793"/>
    <w:rsid w:val="00D703E7"/>
    <w:rsid w:val="00D70646"/>
    <w:rsid w:val="00D7102E"/>
    <w:rsid w:val="00D71B7F"/>
    <w:rsid w:val="00D71E7A"/>
    <w:rsid w:val="00D73BE6"/>
    <w:rsid w:val="00D743BA"/>
    <w:rsid w:val="00D747B4"/>
    <w:rsid w:val="00D765E4"/>
    <w:rsid w:val="00D777C5"/>
    <w:rsid w:val="00D77CA9"/>
    <w:rsid w:val="00D82405"/>
    <w:rsid w:val="00D82C33"/>
    <w:rsid w:val="00D839E9"/>
    <w:rsid w:val="00D84991"/>
    <w:rsid w:val="00D85694"/>
    <w:rsid w:val="00D858FB"/>
    <w:rsid w:val="00D87221"/>
    <w:rsid w:val="00D90066"/>
    <w:rsid w:val="00D90184"/>
    <w:rsid w:val="00D90194"/>
    <w:rsid w:val="00D9142E"/>
    <w:rsid w:val="00D914B1"/>
    <w:rsid w:val="00D917C6"/>
    <w:rsid w:val="00D93132"/>
    <w:rsid w:val="00D93237"/>
    <w:rsid w:val="00D94CDB"/>
    <w:rsid w:val="00D95667"/>
    <w:rsid w:val="00D95AA5"/>
    <w:rsid w:val="00D95DC5"/>
    <w:rsid w:val="00D96542"/>
    <w:rsid w:val="00D9739F"/>
    <w:rsid w:val="00D973FE"/>
    <w:rsid w:val="00D97ABE"/>
    <w:rsid w:val="00D97BB7"/>
    <w:rsid w:val="00DA2F1E"/>
    <w:rsid w:val="00DA3C68"/>
    <w:rsid w:val="00DA4713"/>
    <w:rsid w:val="00DA518F"/>
    <w:rsid w:val="00DA541C"/>
    <w:rsid w:val="00DA5F56"/>
    <w:rsid w:val="00DA6324"/>
    <w:rsid w:val="00DA6E50"/>
    <w:rsid w:val="00DA7FB6"/>
    <w:rsid w:val="00DB10D5"/>
    <w:rsid w:val="00DB1E13"/>
    <w:rsid w:val="00DB2889"/>
    <w:rsid w:val="00DB49C6"/>
    <w:rsid w:val="00DB4DC9"/>
    <w:rsid w:val="00DB4DDA"/>
    <w:rsid w:val="00DB5B4A"/>
    <w:rsid w:val="00DB619D"/>
    <w:rsid w:val="00DB703A"/>
    <w:rsid w:val="00DB70DB"/>
    <w:rsid w:val="00DB7161"/>
    <w:rsid w:val="00DB7B88"/>
    <w:rsid w:val="00DC09CC"/>
    <w:rsid w:val="00DC1CC3"/>
    <w:rsid w:val="00DC26D7"/>
    <w:rsid w:val="00DC2D06"/>
    <w:rsid w:val="00DC357E"/>
    <w:rsid w:val="00DC3C35"/>
    <w:rsid w:val="00DC4D22"/>
    <w:rsid w:val="00DC7488"/>
    <w:rsid w:val="00DD03A5"/>
    <w:rsid w:val="00DD1782"/>
    <w:rsid w:val="00DD1D57"/>
    <w:rsid w:val="00DD3505"/>
    <w:rsid w:val="00DD5E13"/>
    <w:rsid w:val="00DD6D89"/>
    <w:rsid w:val="00DE06FB"/>
    <w:rsid w:val="00DE0F75"/>
    <w:rsid w:val="00DE0F93"/>
    <w:rsid w:val="00DE2DE7"/>
    <w:rsid w:val="00DE3EB0"/>
    <w:rsid w:val="00DE408C"/>
    <w:rsid w:val="00DE4807"/>
    <w:rsid w:val="00DE5F38"/>
    <w:rsid w:val="00DE5F7F"/>
    <w:rsid w:val="00DE5FD5"/>
    <w:rsid w:val="00DE697C"/>
    <w:rsid w:val="00DF08BA"/>
    <w:rsid w:val="00DF182A"/>
    <w:rsid w:val="00DF1CF1"/>
    <w:rsid w:val="00DF1D15"/>
    <w:rsid w:val="00DF3AD2"/>
    <w:rsid w:val="00DF4780"/>
    <w:rsid w:val="00DF60A6"/>
    <w:rsid w:val="00DF76ED"/>
    <w:rsid w:val="00DF7CE1"/>
    <w:rsid w:val="00DF7D26"/>
    <w:rsid w:val="00E00682"/>
    <w:rsid w:val="00E00841"/>
    <w:rsid w:val="00E0187A"/>
    <w:rsid w:val="00E019E4"/>
    <w:rsid w:val="00E03AFA"/>
    <w:rsid w:val="00E05454"/>
    <w:rsid w:val="00E05CA1"/>
    <w:rsid w:val="00E06AD2"/>
    <w:rsid w:val="00E06B72"/>
    <w:rsid w:val="00E06C64"/>
    <w:rsid w:val="00E06D70"/>
    <w:rsid w:val="00E1037F"/>
    <w:rsid w:val="00E10AEC"/>
    <w:rsid w:val="00E114FF"/>
    <w:rsid w:val="00E11CE8"/>
    <w:rsid w:val="00E12A3E"/>
    <w:rsid w:val="00E134DB"/>
    <w:rsid w:val="00E139B8"/>
    <w:rsid w:val="00E154E1"/>
    <w:rsid w:val="00E20169"/>
    <w:rsid w:val="00E20EB9"/>
    <w:rsid w:val="00E2192A"/>
    <w:rsid w:val="00E21EBB"/>
    <w:rsid w:val="00E22236"/>
    <w:rsid w:val="00E23B6A"/>
    <w:rsid w:val="00E243CA"/>
    <w:rsid w:val="00E244E7"/>
    <w:rsid w:val="00E24D2E"/>
    <w:rsid w:val="00E24F05"/>
    <w:rsid w:val="00E25940"/>
    <w:rsid w:val="00E25DCB"/>
    <w:rsid w:val="00E261C8"/>
    <w:rsid w:val="00E27E78"/>
    <w:rsid w:val="00E309AC"/>
    <w:rsid w:val="00E311A1"/>
    <w:rsid w:val="00E32083"/>
    <w:rsid w:val="00E34BD4"/>
    <w:rsid w:val="00E3541E"/>
    <w:rsid w:val="00E359B5"/>
    <w:rsid w:val="00E35B2E"/>
    <w:rsid w:val="00E36BC7"/>
    <w:rsid w:val="00E36D68"/>
    <w:rsid w:val="00E36E40"/>
    <w:rsid w:val="00E37C33"/>
    <w:rsid w:val="00E40BFC"/>
    <w:rsid w:val="00E429C8"/>
    <w:rsid w:val="00E434D2"/>
    <w:rsid w:val="00E437B1"/>
    <w:rsid w:val="00E4397C"/>
    <w:rsid w:val="00E44261"/>
    <w:rsid w:val="00E472A6"/>
    <w:rsid w:val="00E50A74"/>
    <w:rsid w:val="00E516DF"/>
    <w:rsid w:val="00E51766"/>
    <w:rsid w:val="00E529E2"/>
    <w:rsid w:val="00E52C60"/>
    <w:rsid w:val="00E531ED"/>
    <w:rsid w:val="00E53ADF"/>
    <w:rsid w:val="00E53D2F"/>
    <w:rsid w:val="00E53EC0"/>
    <w:rsid w:val="00E540B1"/>
    <w:rsid w:val="00E54FE0"/>
    <w:rsid w:val="00E55D09"/>
    <w:rsid w:val="00E560B8"/>
    <w:rsid w:val="00E56B6E"/>
    <w:rsid w:val="00E56CE1"/>
    <w:rsid w:val="00E57C05"/>
    <w:rsid w:val="00E57F26"/>
    <w:rsid w:val="00E600C4"/>
    <w:rsid w:val="00E60BAB"/>
    <w:rsid w:val="00E60EC6"/>
    <w:rsid w:val="00E613C1"/>
    <w:rsid w:val="00E614C3"/>
    <w:rsid w:val="00E614E6"/>
    <w:rsid w:val="00E621EC"/>
    <w:rsid w:val="00E633C6"/>
    <w:rsid w:val="00E64B01"/>
    <w:rsid w:val="00E6536A"/>
    <w:rsid w:val="00E66874"/>
    <w:rsid w:val="00E6692E"/>
    <w:rsid w:val="00E71131"/>
    <w:rsid w:val="00E72FB8"/>
    <w:rsid w:val="00E738AC"/>
    <w:rsid w:val="00E73A4B"/>
    <w:rsid w:val="00E73C17"/>
    <w:rsid w:val="00E74167"/>
    <w:rsid w:val="00E76ADF"/>
    <w:rsid w:val="00E807CB"/>
    <w:rsid w:val="00E81269"/>
    <w:rsid w:val="00E851EF"/>
    <w:rsid w:val="00E85897"/>
    <w:rsid w:val="00E86892"/>
    <w:rsid w:val="00E86941"/>
    <w:rsid w:val="00E909EF"/>
    <w:rsid w:val="00E90D00"/>
    <w:rsid w:val="00E91C12"/>
    <w:rsid w:val="00E91EA2"/>
    <w:rsid w:val="00E92BD2"/>
    <w:rsid w:val="00E9488C"/>
    <w:rsid w:val="00E962C9"/>
    <w:rsid w:val="00E96A35"/>
    <w:rsid w:val="00E97837"/>
    <w:rsid w:val="00EA141B"/>
    <w:rsid w:val="00EA2A95"/>
    <w:rsid w:val="00EA32BA"/>
    <w:rsid w:val="00EA46C6"/>
    <w:rsid w:val="00EA50D6"/>
    <w:rsid w:val="00EA6037"/>
    <w:rsid w:val="00EA66DE"/>
    <w:rsid w:val="00EA7153"/>
    <w:rsid w:val="00EA7FF6"/>
    <w:rsid w:val="00EB3570"/>
    <w:rsid w:val="00EB4227"/>
    <w:rsid w:val="00EB4F9D"/>
    <w:rsid w:val="00EB5C8A"/>
    <w:rsid w:val="00EB7B5B"/>
    <w:rsid w:val="00EC1571"/>
    <w:rsid w:val="00EC1B73"/>
    <w:rsid w:val="00EC207B"/>
    <w:rsid w:val="00EC3A3C"/>
    <w:rsid w:val="00EC43CB"/>
    <w:rsid w:val="00EC44D0"/>
    <w:rsid w:val="00EC6142"/>
    <w:rsid w:val="00EC7311"/>
    <w:rsid w:val="00EC7C32"/>
    <w:rsid w:val="00ED02BA"/>
    <w:rsid w:val="00ED037A"/>
    <w:rsid w:val="00ED1104"/>
    <w:rsid w:val="00ED3C7C"/>
    <w:rsid w:val="00ED416D"/>
    <w:rsid w:val="00ED58EA"/>
    <w:rsid w:val="00ED6224"/>
    <w:rsid w:val="00EE0500"/>
    <w:rsid w:val="00EE162F"/>
    <w:rsid w:val="00EE17B5"/>
    <w:rsid w:val="00EE1F5C"/>
    <w:rsid w:val="00EE3DB2"/>
    <w:rsid w:val="00EE4765"/>
    <w:rsid w:val="00EE4EE9"/>
    <w:rsid w:val="00EE52DA"/>
    <w:rsid w:val="00EE6808"/>
    <w:rsid w:val="00EF0DAE"/>
    <w:rsid w:val="00EF0E3D"/>
    <w:rsid w:val="00EF1437"/>
    <w:rsid w:val="00EF4F60"/>
    <w:rsid w:val="00EF586C"/>
    <w:rsid w:val="00EF6A99"/>
    <w:rsid w:val="00EF737C"/>
    <w:rsid w:val="00F03A1A"/>
    <w:rsid w:val="00F04BF2"/>
    <w:rsid w:val="00F04C79"/>
    <w:rsid w:val="00F04ED9"/>
    <w:rsid w:val="00F10235"/>
    <w:rsid w:val="00F11954"/>
    <w:rsid w:val="00F11B91"/>
    <w:rsid w:val="00F12821"/>
    <w:rsid w:val="00F1297C"/>
    <w:rsid w:val="00F12C0F"/>
    <w:rsid w:val="00F12CA6"/>
    <w:rsid w:val="00F13A84"/>
    <w:rsid w:val="00F14ACE"/>
    <w:rsid w:val="00F15C4C"/>
    <w:rsid w:val="00F15D55"/>
    <w:rsid w:val="00F1692F"/>
    <w:rsid w:val="00F20B0F"/>
    <w:rsid w:val="00F20CE6"/>
    <w:rsid w:val="00F2190A"/>
    <w:rsid w:val="00F21CDF"/>
    <w:rsid w:val="00F2448F"/>
    <w:rsid w:val="00F2581B"/>
    <w:rsid w:val="00F26143"/>
    <w:rsid w:val="00F268A2"/>
    <w:rsid w:val="00F27684"/>
    <w:rsid w:val="00F277A9"/>
    <w:rsid w:val="00F3022C"/>
    <w:rsid w:val="00F339E6"/>
    <w:rsid w:val="00F33BA7"/>
    <w:rsid w:val="00F33D01"/>
    <w:rsid w:val="00F35334"/>
    <w:rsid w:val="00F36DB9"/>
    <w:rsid w:val="00F3727A"/>
    <w:rsid w:val="00F37D5A"/>
    <w:rsid w:val="00F37D84"/>
    <w:rsid w:val="00F402A7"/>
    <w:rsid w:val="00F43743"/>
    <w:rsid w:val="00F45B03"/>
    <w:rsid w:val="00F45BD4"/>
    <w:rsid w:val="00F472E8"/>
    <w:rsid w:val="00F473EF"/>
    <w:rsid w:val="00F47BC8"/>
    <w:rsid w:val="00F50EC8"/>
    <w:rsid w:val="00F51481"/>
    <w:rsid w:val="00F51680"/>
    <w:rsid w:val="00F53964"/>
    <w:rsid w:val="00F53BA1"/>
    <w:rsid w:val="00F54998"/>
    <w:rsid w:val="00F5581E"/>
    <w:rsid w:val="00F6081D"/>
    <w:rsid w:val="00F63411"/>
    <w:rsid w:val="00F63BBD"/>
    <w:rsid w:val="00F6458A"/>
    <w:rsid w:val="00F64F2A"/>
    <w:rsid w:val="00F66432"/>
    <w:rsid w:val="00F66AA4"/>
    <w:rsid w:val="00F678BB"/>
    <w:rsid w:val="00F679D8"/>
    <w:rsid w:val="00F71110"/>
    <w:rsid w:val="00F71955"/>
    <w:rsid w:val="00F727A2"/>
    <w:rsid w:val="00F73067"/>
    <w:rsid w:val="00F74D72"/>
    <w:rsid w:val="00F74E02"/>
    <w:rsid w:val="00F74EEF"/>
    <w:rsid w:val="00F75B5D"/>
    <w:rsid w:val="00F75BD4"/>
    <w:rsid w:val="00F7727F"/>
    <w:rsid w:val="00F7742A"/>
    <w:rsid w:val="00F81C33"/>
    <w:rsid w:val="00F8238B"/>
    <w:rsid w:val="00F824C7"/>
    <w:rsid w:val="00F824D8"/>
    <w:rsid w:val="00F83B64"/>
    <w:rsid w:val="00F83D08"/>
    <w:rsid w:val="00F83DAE"/>
    <w:rsid w:val="00F8466A"/>
    <w:rsid w:val="00F865EC"/>
    <w:rsid w:val="00F8779B"/>
    <w:rsid w:val="00F91798"/>
    <w:rsid w:val="00F92526"/>
    <w:rsid w:val="00F92CA3"/>
    <w:rsid w:val="00F94DF8"/>
    <w:rsid w:val="00F95280"/>
    <w:rsid w:val="00F9542D"/>
    <w:rsid w:val="00F96298"/>
    <w:rsid w:val="00F967A0"/>
    <w:rsid w:val="00F96924"/>
    <w:rsid w:val="00F96F11"/>
    <w:rsid w:val="00F97ADE"/>
    <w:rsid w:val="00F97B9D"/>
    <w:rsid w:val="00FA093A"/>
    <w:rsid w:val="00FA20C0"/>
    <w:rsid w:val="00FA366F"/>
    <w:rsid w:val="00FA3720"/>
    <w:rsid w:val="00FA5258"/>
    <w:rsid w:val="00FB059A"/>
    <w:rsid w:val="00FB0AB5"/>
    <w:rsid w:val="00FB1941"/>
    <w:rsid w:val="00FB1CB2"/>
    <w:rsid w:val="00FB318E"/>
    <w:rsid w:val="00FB341F"/>
    <w:rsid w:val="00FB3A2C"/>
    <w:rsid w:val="00FB3B8C"/>
    <w:rsid w:val="00FB43F8"/>
    <w:rsid w:val="00FB4B5A"/>
    <w:rsid w:val="00FB4CED"/>
    <w:rsid w:val="00FB6640"/>
    <w:rsid w:val="00FB7985"/>
    <w:rsid w:val="00FC1C3C"/>
    <w:rsid w:val="00FC367F"/>
    <w:rsid w:val="00FC3918"/>
    <w:rsid w:val="00FC4A87"/>
    <w:rsid w:val="00FC731D"/>
    <w:rsid w:val="00FC7685"/>
    <w:rsid w:val="00FD035C"/>
    <w:rsid w:val="00FD067A"/>
    <w:rsid w:val="00FD0C98"/>
    <w:rsid w:val="00FD11DF"/>
    <w:rsid w:val="00FD153A"/>
    <w:rsid w:val="00FD20B4"/>
    <w:rsid w:val="00FD2BE1"/>
    <w:rsid w:val="00FD3259"/>
    <w:rsid w:val="00FD345F"/>
    <w:rsid w:val="00FD3F21"/>
    <w:rsid w:val="00FD72D3"/>
    <w:rsid w:val="00FD798F"/>
    <w:rsid w:val="00FD7F4B"/>
    <w:rsid w:val="00FE027E"/>
    <w:rsid w:val="00FE0927"/>
    <w:rsid w:val="00FE343F"/>
    <w:rsid w:val="00FE3B81"/>
    <w:rsid w:val="00FE3CD7"/>
    <w:rsid w:val="00FE3E1C"/>
    <w:rsid w:val="00FE3E9B"/>
    <w:rsid w:val="00FE4CB5"/>
    <w:rsid w:val="00FE5B7E"/>
    <w:rsid w:val="00FE665A"/>
    <w:rsid w:val="00FE6E16"/>
    <w:rsid w:val="00FF1147"/>
    <w:rsid w:val="00FF1DF9"/>
    <w:rsid w:val="00FF2A97"/>
    <w:rsid w:val="00FF35B6"/>
    <w:rsid w:val="00FF3F88"/>
    <w:rsid w:val="00FF4202"/>
    <w:rsid w:val="00FF49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325D"/>
  <w15:chartTrackingRefBased/>
  <w15:docId w15:val="{75304FE3-4559-284B-8350-1E4B2CBE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C0"/>
    <w:rPr>
      <w:rFonts w:ascii="Times New Roman" w:eastAsia="Times New Roman" w:hAnsi="Times New Roman" w:cs="Times New Roman"/>
    </w:rPr>
  </w:style>
  <w:style w:type="paragraph" w:styleId="Heading1">
    <w:name w:val="heading 1"/>
    <w:basedOn w:val="Normal"/>
    <w:link w:val="Heading1Char"/>
    <w:uiPriority w:val="9"/>
    <w:qFormat/>
    <w:rsid w:val="000F76D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76276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0AB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6DB"/>
    <w:rPr>
      <w:sz w:val="18"/>
      <w:szCs w:val="18"/>
    </w:rPr>
  </w:style>
  <w:style w:type="character" w:customStyle="1" w:styleId="BalloonTextChar">
    <w:name w:val="Balloon Text Char"/>
    <w:basedOn w:val="DefaultParagraphFont"/>
    <w:link w:val="BalloonText"/>
    <w:uiPriority w:val="99"/>
    <w:semiHidden/>
    <w:rsid w:val="000F76DB"/>
    <w:rPr>
      <w:rFonts w:ascii="Times New Roman" w:hAnsi="Times New Roman" w:cs="Times New Roman"/>
      <w:sz w:val="18"/>
      <w:szCs w:val="18"/>
    </w:rPr>
  </w:style>
  <w:style w:type="character" w:styleId="Hyperlink">
    <w:name w:val="Hyperlink"/>
    <w:basedOn w:val="DefaultParagraphFont"/>
    <w:uiPriority w:val="99"/>
    <w:unhideWhenUsed/>
    <w:rsid w:val="000F76DB"/>
    <w:rPr>
      <w:color w:val="0563C1" w:themeColor="hyperlink"/>
      <w:u w:val="single"/>
    </w:rPr>
  </w:style>
  <w:style w:type="character" w:styleId="UnresolvedMention">
    <w:name w:val="Unresolved Mention"/>
    <w:basedOn w:val="DefaultParagraphFont"/>
    <w:uiPriority w:val="99"/>
    <w:semiHidden/>
    <w:unhideWhenUsed/>
    <w:rsid w:val="000F76DB"/>
    <w:rPr>
      <w:color w:val="605E5C"/>
      <w:shd w:val="clear" w:color="auto" w:fill="E1DFDD"/>
    </w:rPr>
  </w:style>
  <w:style w:type="character" w:styleId="FollowedHyperlink">
    <w:name w:val="FollowedHyperlink"/>
    <w:basedOn w:val="DefaultParagraphFont"/>
    <w:uiPriority w:val="99"/>
    <w:semiHidden/>
    <w:unhideWhenUsed/>
    <w:rsid w:val="000F76DB"/>
    <w:rPr>
      <w:color w:val="954F72" w:themeColor="followedHyperlink"/>
      <w:u w:val="single"/>
    </w:rPr>
  </w:style>
  <w:style w:type="character" w:customStyle="1" w:styleId="Heading1Char">
    <w:name w:val="Heading 1 Char"/>
    <w:basedOn w:val="DefaultParagraphFont"/>
    <w:link w:val="Heading1"/>
    <w:uiPriority w:val="9"/>
    <w:rsid w:val="000F76D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0F76DB"/>
    <w:pPr>
      <w:spacing w:before="100" w:beforeAutospacing="1" w:after="100" w:afterAutospacing="1"/>
    </w:pPr>
  </w:style>
  <w:style w:type="character" w:customStyle="1" w:styleId="apple-converted-space">
    <w:name w:val="apple-converted-space"/>
    <w:basedOn w:val="DefaultParagraphFont"/>
    <w:rsid w:val="000F76DB"/>
  </w:style>
  <w:style w:type="character" w:styleId="Strong">
    <w:name w:val="Strong"/>
    <w:basedOn w:val="DefaultParagraphFont"/>
    <w:uiPriority w:val="22"/>
    <w:qFormat/>
    <w:rsid w:val="000F76DB"/>
    <w:rPr>
      <w:b/>
      <w:bCs/>
    </w:rPr>
  </w:style>
  <w:style w:type="paragraph" w:customStyle="1" w:styleId="Authornames">
    <w:name w:val="Author names"/>
    <w:basedOn w:val="Normal"/>
    <w:next w:val="Normal"/>
    <w:qFormat/>
    <w:rsid w:val="000F76DB"/>
    <w:pPr>
      <w:spacing w:before="240" w:line="360" w:lineRule="auto"/>
    </w:pPr>
    <w:rPr>
      <w:sz w:val="28"/>
      <w:lang w:val="en-GB" w:eastAsia="en-GB"/>
    </w:rPr>
  </w:style>
  <w:style w:type="paragraph" w:customStyle="1" w:styleId="Affiliation">
    <w:name w:val="Affiliation"/>
    <w:basedOn w:val="Normal"/>
    <w:qFormat/>
    <w:rsid w:val="000F76DB"/>
    <w:pPr>
      <w:spacing w:before="240" w:line="360" w:lineRule="auto"/>
    </w:pPr>
    <w:rPr>
      <w:i/>
      <w:lang w:val="en-GB" w:eastAsia="en-GB"/>
    </w:rPr>
  </w:style>
  <w:style w:type="paragraph" w:customStyle="1" w:styleId="Articletitle">
    <w:name w:val="Article title"/>
    <w:basedOn w:val="Normal"/>
    <w:next w:val="Normal"/>
    <w:qFormat/>
    <w:rsid w:val="000F76DB"/>
    <w:pPr>
      <w:spacing w:after="120" w:line="360" w:lineRule="auto"/>
    </w:pPr>
    <w:rPr>
      <w:b/>
      <w:sz w:val="28"/>
      <w:lang w:val="en-GB" w:eastAsia="en-GB"/>
    </w:rPr>
  </w:style>
  <w:style w:type="paragraph" w:customStyle="1" w:styleId="Keywords">
    <w:name w:val="Keywords"/>
    <w:basedOn w:val="Normal"/>
    <w:next w:val="Normal"/>
    <w:qFormat/>
    <w:rsid w:val="000F76DB"/>
    <w:pPr>
      <w:spacing w:before="240" w:after="240" w:line="360" w:lineRule="auto"/>
      <w:ind w:left="720" w:right="567"/>
    </w:pPr>
    <w:rPr>
      <w:sz w:val="22"/>
      <w:lang w:val="en-GB" w:eastAsia="en-GB"/>
    </w:rPr>
  </w:style>
  <w:style w:type="paragraph" w:styleId="ListParagraph">
    <w:name w:val="List Paragraph"/>
    <w:basedOn w:val="Normal"/>
    <w:uiPriority w:val="34"/>
    <w:qFormat/>
    <w:rsid w:val="004179A7"/>
    <w:pPr>
      <w:ind w:left="720"/>
      <w:contextualSpacing/>
    </w:pPr>
    <w:rPr>
      <w:rFonts w:asciiTheme="minorHAnsi" w:eastAsiaTheme="minorHAnsi" w:hAnsiTheme="minorHAnsi" w:cstheme="minorBidi"/>
    </w:rPr>
  </w:style>
  <w:style w:type="table" w:styleId="TableGrid">
    <w:name w:val="Table Grid"/>
    <w:basedOn w:val="TableNormal"/>
    <w:uiPriority w:val="39"/>
    <w:rsid w:val="007C1EED"/>
    <w:pPr>
      <w:ind w:firstLine="720"/>
    </w:pPr>
    <w:rPr>
      <w:rFonts w:ascii="Times New Roman" w:eastAsiaTheme="minorEastAsia" w:hAnsi="Times New Roma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B0AB5"/>
    <w:rPr>
      <w:rFonts w:asciiTheme="majorHAnsi" w:eastAsiaTheme="majorEastAsia" w:hAnsiTheme="majorHAnsi" w:cstheme="majorBidi"/>
      <w:color w:val="1F3763" w:themeColor="accent1" w:themeShade="7F"/>
    </w:rPr>
  </w:style>
  <w:style w:type="paragraph" w:customStyle="1" w:styleId="text">
    <w:name w:val="text"/>
    <w:aliases w:val="t"/>
    <w:basedOn w:val="Normal"/>
    <w:rsid w:val="00FB0AB5"/>
    <w:pPr>
      <w:overflowPunct w:val="0"/>
      <w:autoSpaceDE w:val="0"/>
      <w:autoSpaceDN w:val="0"/>
      <w:adjustRightInd w:val="0"/>
      <w:spacing w:line="480" w:lineRule="atLeast"/>
      <w:ind w:firstLine="720"/>
      <w:jc w:val="both"/>
      <w:textAlignment w:val="baseline"/>
    </w:pPr>
    <w:rPr>
      <w:rFonts w:ascii="Times" w:hAnsi="Times"/>
      <w:szCs w:val="20"/>
    </w:rPr>
  </w:style>
  <w:style w:type="character" w:styleId="CommentReference">
    <w:name w:val="annotation reference"/>
    <w:basedOn w:val="DefaultParagraphFont"/>
    <w:uiPriority w:val="99"/>
    <w:semiHidden/>
    <w:unhideWhenUsed/>
    <w:rsid w:val="00F1297C"/>
    <w:rPr>
      <w:sz w:val="16"/>
      <w:szCs w:val="16"/>
    </w:rPr>
  </w:style>
  <w:style w:type="paragraph" w:styleId="CommentText">
    <w:name w:val="annotation text"/>
    <w:basedOn w:val="Normal"/>
    <w:link w:val="CommentTextChar"/>
    <w:uiPriority w:val="99"/>
    <w:unhideWhenUsed/>
    <w:rsid w:val="00F1297C"/>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1297C"/>
    <w:rPr>
      <w:sz w:val="20"/>
      <w:szCs w:val="20"/>
    </w:rPr>
  </w:style>
  <w:style w:type="paragraph" w:styleId="CommentSubject">
    <w:name w:val="annotation subject"/>
    <w:basedOn w:val="CommentText"/>
    <w:next w:val="CommentText"/>
    <w:link w:val="CommentSubjectChar"/>
    <w:uiPriority w:val="99"/>
    <w:semiHidden/>
    <w:unhideWhenUsed/>
    <w:rsid w:val="00F1297C"/>
    <w:rPr>
      <w:b/>
      <w:bCs/>
    </w:rPr>
  </w:style>
  <w:style w:type="character" w:customStyle="1" w:styleId="CommentSubjectChar">
    <w:name w:val="Comment Subject Char"/>
    <w:basedOn w:val="CommentTextChar"/>
    <w:link w:val="CommentSubject"/>
    <w:uiPriority w:val="99"/>
    <w:semiHidden/>
    <w:rsid w:val="00F1297C"/>
    <w:rPr>
      <w:b/>
      <w:bCs/>
      <w:sz w:val="20"/>
      <w:szCs w:val="20"/>
    </w:rPr>
  </w:style>
  <w:style w:type="paragraph" w:styleId="Revision">
    <w:name w:val="Revision"/>
    <w:hidden/>
    <w:uiPriority w:val="99"/>
    <w:semiHidden/>
    <w:rsid w:val="00CC745E"/>
  </w:style>
  <w:style w:type="paragraph" w:styleId="Footer">
    <w:name w:val="footer"/>
    <w:basedOn w:val="Normal"/>
    <w:link w:val="FooterChar"/>
    <w:uiPriority w:val="99"/>
    <w:unhideWhenUsed/>
    <w:rsid w:val="000A7581"/>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A7581"/>
  </w:style>
  <w:style w:type="character" w:styleId="PageNumber">
    <w:name w:val="page number"/>
    <w:basedOn w:val="DefaultParagraphFont"/>
    <w:uiPriority w:val="99"/>
    <w:semiHidden/>
    <w:unhideWhenUsed/>
    <w:rsid w:val="000A7581"/>
  </w:style>
  <w:style w:type="character" w:customStyle="1" w:styleId="Heading2Char">
    <w:name w:val="Heading 2 Char"/>
    <w:basedOn w:val="DefaultParagraphFont"/>
    <w:link w:val="Heading2"/>
    <w:uiPriority w:val="9"/>
    <w:semiHidden/>
    <w:rsid w:val="0076276D"/>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70EE4"/>
    <w:rPr>
      <w:i/>
      <w:iCs/>
    </w:rPr>
  </w:style>
  <w:style w:type="paragraph" w:styleId="Header">
    <w:name w:val="header"/>
    <w:basedOn w:val="Normal"/>
    <w:link w:val="HeaderChar"/>
    <w:uiPriority w:val="99"/>
    <w:unhideWhenUsed/>
    <w:rsid w:val="004F019B"/>
    <w:pPr>
      <w:tabs>
        <w:tab w:val="center" w:pos="4680"/>
        <w:tab w:val="right" w:pos="9360"/>
      </w:tabs>
    </w:pPr>
  </w:style>
  <w:style w:type="character" w:customStyle="1" w:styleId="HeaderChar">
    <w:name w:val="Header Char"/>
    <w:basedOn w:val="DefaultParagraphFont"/>
    <w:link w:val="Header"/>
    <w:uiPriority w:val="99"/>
    <w:rsid w:val="004F019B"/>
    <w:rPr>
      <w:rFonts w:ascii="Times New Roman" w:eastAsia="Times New Roman" w:hAnsi="Times New Roman" w:cs="Times New Roman"/>
    </w:rPr>
  </w:style>
  <w:style w:type="paragraph" w:styleId="Bibliography">
    <w:name w:val="Bibliography"/>
    <w:basedOn w:val="Normal"/>
    <w:next w:val="Normal"/>
    <w:uiPriority w:val="37"/>
    <w:unhideWhenUsed/>
    <w:rsid w:val="003B6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3874">
      <w:bodyDiv w:val="1"/>
      <w:marLeft w:val="0"/>
      <w:marRight w:val="0"/>
      <w:marTop w:val="0"/>
      <w:marBottom w:val="0"/>
      <w:divBdr>
        <w:top w:val="none" w:sz="0" w:space="0" w:color="auto"/>
        <w:left w:val="none" w:sz="0" w:space="0" w:color="auto"/>
        <w:bottom w:val="none" w:sz="0" w:space="0" w:color="auto"/>
        <w:right w:val="none" w:sz="0" w:space="0" w:color="auto"/>
      </w:divBdr>
    </w:div>
    <w:div w:id="80682800">
      <w:bodyDiv w:val="1"/>
      <w:marLeft w:val="0"/>
      <w:marRight w:val="0"/>
      <w:marTop w:val="0"/>
      <w:marBottom w:val="0"/>
      <w:divBdr>
        <w:top w:val="none" w:sz="0" w:space="0" w:color="auto"/>
        <w:left w:val="none" w:sz="0" w:space="0" w:color="auto"/>
        <w:bottom w:val="none" w:sz="0" w:space="0" w:color="auto"/>
        <w:right w:val="none" w:sz="0" w:space="0" w:color="auto"/>
      </w:divBdr>
    </w:div>
    <w:div w:id="81755382">
      <w:bodyDiv w:val="1"/>
      <w:marLeft w:val="0"/>
      <w:marRight w:val="0"/>
      <w:marTop w:val="0"/>
      <w:marBottom w:val="0"/>
      <w:divBdr>
        <w:top w:val="none" w:sz="0" w:space="0" w:color="auto"/>
        <w:left w:val="none" w:sz="0" w:space="0" w:color="auto"/>
        <w:bottom w:val="none" w:sz="0" w:space="0" w:color="auto"/>
        <w:right w:val="none" w:sz="0" w:space="0" w:color="auto"/>
      </w:divBdr>
      <w:divsChild>
        <w:div w:id="991104225">
          <w:marLeft w:val="0"/>
          <w:marRight w:val="0"/>
          <w:marTop w:val="0"/>
          <w:marBottom w:val="0"/>
          <w:divBdr>
            <w:top w:val="none" w:sz="0" w:space="0" w:color="auto"/>
            <w:left w:val="none" w:sz="0" w:space="0" w:color="auto"/>
            <w:bottom w:val="none" w:sz="0" w:space="0" w:color="auto"/>
            <w:right w:val="none" w:sz="0" w:space="0" w:color="auto"/>
          </w:divBdr>
        </w:div>
      </w:divsChild>
    </w:div>
    <w:div w:id="109008979">
      <w:bodyDiv w:val="1"/>
      <w:marLeft w:val="0"/>
      <w:marRight w:val="0"/>
      <w:marTop w:val="0"/>
      <w:marBottom w:val="0"/>
      <w:divBdr>
        <w:top w:val="none" w:sz="0" w:space="0" w:color="auto"/>
        <w:left w:val="none" w:sz="0" w:space="0" w:color="auto"/>
        <w:bottom w:val="none" w:sz="0" w:space="0" w:color="auto"/>
        <w:right w:val="none" w:sz="0" w:space="0" w:color="auto"/>
      </w:divBdr>
    </w:div>
    <w:div w:id="133106458">
      <w:bodyDiv w:val="1"/>
      <w:marLeft w:val="0"/>
      <w:marRight w:val="0"/>
      <w:marTop w:val="0"/>
      <w:marBottom w:val="0"/>
      <w:divBdr>
        <w:top w:val="none" w:sz="0" w:space="0" w:color="auto"/>
        <w:left w:val="none" w:sz="0" w:space="0" w:color="auto"/>
        <w:bottom w:val="none" w:sz="0" w:space="0" w:color="auto"/>
        <w:right w:val="none" w:sz="0" w:space="0" w:color="auto"/>
      </w:divBdr>
      <w:divsChild>
        <w:div w:id="2099399188">
          <w:marLeft w:val="0"/>
          <w:marRight w:val="0"/>
          <w:marTop w:val="0"/>
          <w:marBottom w:val="0"/>
          <w:divBdr>
            <w:top w:val="none" w:sz="0" w:space="0" w:color="auto"/>
            <w:left w:val="none" w:sz="0" w:space="0" w:color="auto"/>
            <w:bottom w:val="none" w:sz="0" w:space="0" w:color="auto"/>
            <w:right w:val="none" w:sz="0" w:space="0" w:color="auto"/>
          </w:divBdr>
        </w:div>
      </w:divsChild>
    </w:div>
    <w:div w:id="140537057">
      <w:bodyDiv w:val="1"/>
      <w:marLeft w:val="0"/>
      <w:marRight w:val="0"/>
      <w:marTop w:val="0"/>
      <w:marBottom w:val="0"/>
      <w:divBdr>
        <w:top w:val="none" w:sz="0" w:space="0" w:color="auto"/>
        <w:left w:val="none" w:sz="0" w:space="0" w:color="auto"/>
        <w:bottom w:val="none" w:sz="0" w:space="0" w:color="auto"/>
        <w:right w:val="none" w:sz="0" w:space="0" w:color="auto"/>
      </w:divBdr>
      <w:divsChild>
        <w:div w:id="1707027679">
          <w:marLeft w:val="0"/>
          <w:marRight w:val="0"/>
          <w:marTop w:val="0"/>
          <w:marBottom w:val="0"/>
          <w:divBdr>
            <w:top w:val="none" w:sz="0" w:space="0" w:color="auto"/>
            <w:left w:val="none" w:sz="0" w:space="0" w:color="auto"/>
            <w:bottom w:val="none" w:sz="0" w:space="0" w:color="auto"/>
            <w:right w:val="none" w:sz="0" w:space="0" w:color="auto"/>
          </w:divBdr>
          <w:divsChild>
            <w:div w:id="837034503">
              <w:marLeft w:val="0"/>
              <w:marRight w:val="0"/>
              <w:marTop w:val="0"/>
              <w:marBottom w:val="0"/>
              <w:divBdr>
                <w:top w:val="none" w:sz="0" w:space="0" w:color="auto"/>
                <w:left w:val="none" w:sz="0" w:space="0" w:color="auto"/>
                <w:bottom w:val="none" w:sz="0" w:space="0" w:color="auto"/>
                <w:right w:val="none" w:sz="0" w:space="0" w:color="auto"/>
              </w:divBdr>
              <w:divsChild>
                <w:div w:id="153750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9724">
      <w:bodyDiv w:val="1"/>
      <w:marLeft w:val="0"/>
      <w:marRight w:val="0"/>
      <w:marTop w:val="0"/>
      <w:marBottom w:val="0"/>
      <w:divBdr>
        <w:top w:val="none" w:sz="0" w:space="0" w:color="auto"/>
        <w:left w:val="none" w:sz="0" w:space="0" w:color="auto"/>
        <w:bottom w:val="none" w:sz="0" w:space="0" w:color="auto"/>
        <w:right w:val="none" w:sz="0" w:space="0" w:color="auto"/>
      </w:divBdr>
    </w:div>
    <w:div w:id="309092904">
      <w:bodyDiv w:val="1"/>
      <w:marLeft w:val="0"/>
      <w:marRight w:val="0"/>
      <w:marTop w:val="0"/>
      <w:marBottom w:val="0"/>
      <w:divBdr>
        <w:top w:val="none" w:sz="0" w:space="0" w:color="auto"/>
        <w:left w:val="none" w:sz="0" w:space="0" w:color="auto"/>
        <w:bottom w:val="none" w:sz="0" w:space="0" w:color="auto"/>
        <w:right w:val="none" w:sz="0" w:space="0" w:color="auto"/>
      </w:divBdr>
      <w:divsChild>
        <w:div w:id="164056653">
          <w:marLeft w:val="0"/>
          <w:marRight w:val="0"/>
          <w:marTop w:val="0"/>
          <w:marBottom w:val="0"/>
          <w:divBdr>
            <w:top w:val="none" w:sz="0" w:space="0" w:color="auto"/>
            <w:left w:val="none" w:sz="0" w:space="0" w:color="auto"/>
            <w:bottom w:val="none" w:sz="0" w:space="0" w:color="auto"/>
            <w:right w:val="none" w:sz="0" w:space="0" w:color="auto"/>
          </w:divBdr>
          <w:divsChild>
            <w:div w:id="1306082919">
              <w:marLeft w:val="0"/>
              <w:marRight w:val="0"/>
              <w:marTop w:val="0"/>
              <w:marBottom w:val="0"/>
              <w:divBdr>
                <w:top w:val="none" w:sz="0" w:space="0" w:color="auto"/>
                <w:left w:val="none" w:sz="0" w:space="0" w:color="auto"/>
                <w:bottom w:val="none" w:sz="0" w:space="0" w:color="auto"/>
                <w:right w:val="none" w:sz="0" w:space="0" w:color="auto"/>
              </w:divBdr>
              <w:divsChild>
                <w:div w:id="7179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3417">
      <w:bodyDiv w:val="1"/>
      <w:marLeft w:val="0"/>
      <w:marRight w:val="0"/>
      <w:marTop w:val="0"/>
      <w:marBottom w:val="0"/>
      <w:divBdr>
        <w:top w:val="none" w:sz="0" w:space="0" w:color="auto"/>
        <w:left w:val="none" w:sz="0" w:space="0" w:color="auto"/>
        <w:bottom w:val="none" w:sz="0" w:space="0" w:color="auto"/>
        <w:right w:val="none" w:sz="0" w:space="0" w:color="auto"/>
      </w:divBdr>
      <w:divsChild>
        <w:div w:id="1391223378">
          <w:marLeft w:val="0"/>
          <w:marRight w:val="0"/>
          <w:marTop w:val="0"/>
          <w:marBottom w:val="0"/>
          <w:divBdr>
            <w:top w:val="none" w:sz="0" w:space="0" w:color="auto"/>
            <w:left w:val="none" w:sz="0" w:space="0" w:color="auto"/>
            <w:bottom w:val="none" w:sz="0" w:space="0" w:color="auto"/>
            <w:right w:val="none" w:sz="0" w:space="0" w:color="auto"/>
          </w:divBdr>
          <w:divsChild>
            <w:div w:id="420876341">
              <w:marLeft w:val="0"/>
              <w:marRight w:val="0"/>
              <w:marTop w:val="0"/>
              <w:marBottom w:val="0"/>
              <w:divBdr>
                <w:top w:val="none" w:sz="0" w:space="0" w:color="auto"/>
                <w:left w:val="none" w:sz="0" w:space="0" w:color="auto"/>
                <w:bottom w:val="none" w:sz="0" w:space="0" w:color="auto"/>
                <w:right w:val="none" w:sz="0" w:space="0" w:color="auto"/>
              </w:divBdr>
              <w:divsChild>
                <w:div w:id="764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84375">
      <w:bodyDiv w:val="1"/>
      <w:marLeft w:val="0"/>
      <w:marRight w:val="0"/>
      <w:marTop w:val="0"/>
      <w:marBottom w:val="0"/>
      <w:divBdr>
        <w:top w:val="none" w:sz="0" w:space="0" w:color="auto"/>
        <w:left w:val="none" w:sz="0" w:space="0" w:color="auto"/>
        <w:bottom w:val="none" w:sz="0" w:space="0" w:color="auto"/>
        <w:right w:val="none" w:sz="0" w:space="0" w:color="auto"/>
      </w:divBdr>
    </w:div>
    <w:div w:id="427046073">
      <w:bodyDiv w:val="1"/>
      <w:marLeft w:val="0"/>
      <w:marRight w:val="0"/>
      <w:marTop w:val="0"/>
      <w:marBottom w:val="0"/>
      <w:divBdr>
        <w:top w:val="none" w:sz="0" w:space="0" w:color="auto"/>
        <w:left w:val="none" w:sz="0" w:space="0" w:color="auto"/>
        <w:bottom w:val="none" w:sz="0" w:space="0" w:color="auto"/>
        <w:right w:val="none" w:sz="0" w:space="0" w:color="auto"/>
      </w:divBdr>
    </w:div>
    <w:div w:id="442774337">
      <w:bodyDiv w:val="1"/>
      <w:marLeft w:val="0"/>
      <w:marRight w:val="0"/>
      <w:marTop w:val="0"/>
      <w:marBottom w:val="0"/>
      <w:divBdr>
        <w:top w:val="none" w:sz="0" w:space="0" w:color="auto"/>
        <w:left w:val="none" w:sz="0" w:space="0" w:color="auto"/>
        <w:bottom w:val="none" w:sz="0" w:space="0" w:color="auto"/>
        <w:right w:val="none" w:sz="0" w:space="0" w:color="auto"/>
      </w:divBdr>
    </w:div>
    <w:div w:id="467404996">
      <w:bodyDiv w:val="1"/>
      <w:marLeft w:val="0"/>
      <w:marRight w:val="0"/>
      <w:marTop w:val="0"/>
      <w:marBottom w:val="0"/>
      <w:divBdr>
        <w:top w:val="none" w:sz="0" w:space="0" w:color="auto"/>
        <w:left w:val="none" w:sz="0" w:space="0" w:color="auto"/>
        <w:bottom w:val="none" w:sz="0" w:space="0" w:color="auto"/>
        <w:right w:val="none" w:sz="0" w:space="0" w:color="auto"/>
      </w:divBdr>
    </w:div>
    <w:div w:id="480197411">
      <w:bodyDiv w:val="1"/>
      <w:marLeft w:val="0"/>
      <w:marRight w:val="0"/>
      <w:marTop w:val="0"/>
      <w:marBottom w:val="0"/>
      <w:divBdr>
        <w:top w:val="none" w:sz="0" w:space="0" w:color="auto"/>
        <w:left w:val="none" w:sz="0" w:space="0" w:color="auto"/>
        <w:bottom w:val="none" w:sz="0" w:space="0" w:color="auto"/>
        <w:right w:val="none" w:sz="0" w:space="0" w:color="auto"/>
      </w:divBdr>
      <w:divsChild>
        <w:div w:id="990212498">
          <w:marLeft w:val="0"/>
          <w:marRight w:val="0"/>
          <w:marTop w:val="0"/>
          <w:marBottom w:val="0"/>
          <w:divBdr>
            <w:top w:val="none" w:sz="0" w:space="0" w:color="auto"/>
            <w:left w:val="none" w:sz="0" w:space="0" w:color="auto"/>
            <w:bottom w:val="none" w:sz="0" w:space="0" w:color="auto"/>
            <w:right w:val="none" w:sz="0" w:space="0" w:color="auto"/>
          </w:divBdr>
        </w:div>
      </w:divsChild>
    </w:div>
    <w:div w:id="515850114">
      <w:bodyDiv w:val="1"/>
      <w:marLeft w:val="0"/>
      <w:marRight w:val="0"/>
      <w:marTop w:val="0"/>
      <w:marBottom w:val="0"/>
      <w:divBdr>
        <w:top w:val="none" w:sz="0" w:space="0" w:color="auto"/>
        <w:left w:val="none" w:sz="0" w:space="0" w:color="auto"/>
        <w:bottom w:val="none" w:sz="0" w:space="0" w:color="auto"/>
        <w:right w:val="none" w:sz="0" w:space="0" w:color="auto"/>
      </w:divBdr>
      <w:divsChild>
        <w:div w:id="1746025033">
          <w:marLeft w:val="0"/>
          <w:marRight w:val="0"/>
          <w:marTop w:val="0"/>
          <w:marBottom w:val="0"/>
          <w:divBdr>
            <w:top w:val="none" w:sz="0" w:space="0" w:color="auto"/>
            <w:left w:val="none" w:sz="0" w:space="0" w:color="auto"/>
            <w:bottom w:val="none" w:sz="0" w:space="0" w:color="auto"/>
            <w:right w:val="none" w:sz="0" w:space="0" w:color="auto"/>
          </w:divBdr>
          <w:divsChild>
            <w:div w:id="629746917">
              <w:marLeft w:val="0"/>
              <w:marRight w:val="0"/>
              <w:marTop w:val="0"/>
              <w:marBottom w:val="0"/>
              <w:divBdr>
                <w:top w:val="none" w:sz="0" w:space="0" w:color="auto"/>
                <w:left w:val="none" w:sz="0" w:space="0" w:color="auto"/>
                <w:bottom w:val="none" w:sz="0" w:space="0" w:color="auto"/>
                <w:right w:val="none" w:sz="0" w:space="0" w:color="auto"/>
              </w:divBdr>
              <w:divsChild>
                <w:div w:id="1698696990">
                  <w:marLeft w:val="0"/>
                  <w:marRight w:val="0"/>
                  <w:marTop w:val="0"/>
                  <w:marBottom w:val="0"/>
                  <w:divBdr>
                    <w:top w:val="none" w:sz="0" w:space="0" w:color="auto"/>
                    <w:left w:val="none" w:sz="0" w:space="0" w:color="auto"/>
                    <w:bottom w:val="none" w:sz="0" w:space="0" w:color="auto"/>
                    <w:right w:val="none" w:sz="0" w:space="0" w:color="auto"/>
                  </w:divBdr>
                </w:div>
                <w:div w:id="2226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73352">
      <w:bodyDiv w:val="1"/>
      <w:marLeft w:val="0"/>
      <w:marRight w:val="0"/>
      <w:marTop w:val="0"/>
      <w:marBottom w:val="0"/>
      <w:divBdr>
        <w:top w:val="none" w:sz="0" w:space="0" w:color="auto"/>
        <w:left w:val="none" w:sz="0" w:space="0" w:color="auto"/>
        <w:bottom w:val="none" w:sz="0" w:space="0" w:color="auto"/>
        <w:right w:val="none" w:sz="0" w:space="0" w:color="auto"/>
      </w:divBdr>
      <w:divsChild>
        <w:div w:id="1243177996">
          <w:marLeft w:val="0"/>
          <w:marRight w:val="0"/>
          <w:marTop w:val="0"/>
          <w:marBottom w:val="0"/>
          <w:divBdr>
            <w:top w:val="single" w:sz="6" w:space="0" w:color="5B616B"/>
            <w:left w:val="single" w:sz="6" w:space="0" w:color="5B616B"/>
            <w:bottom w:val="single" w:sz="6" w:space="0" w:color="5B616B"/>
            <w:right w:val="single" w:sz="6" w:space="0" w:color="5B616B"/>
          </w:divBdr>
        </w:div>
        <w:div w:id="988284432">
          <w:marLeft w:val="0"/>
          <w:marRight w:val="0"/>
          <w:marTop w:val="0"/>
          <w:marBottom w:val="0"/>
          <w:divBdr>
            <w:top w:val="none" w:sz="0" w:space="0" w:color="auto"/>
            <w:left w:val="none" w:sz="0" w:space="0" w:color="auto"/>
            <w:bottom w:val="none" w:sz="0" w:space="0" w:color="auto"/>
            <w:right w:val="none" w:sz="0" w:space="0" w:color="auto"/>
          </w:divBdr>
        </w:div>
      </w:divsChild>
    </w:div>
    <w:div w:id="576329965">
      <w:bodyDiv w:val="1"/>
      <w:marLeft w:val="0"/>
      <w:marRight w:val="0"/>
      <w:marTop w:val="0"/>
      <w:marBottom w:val="0"/>
      <w:divBdr>
        <w:top w:val="none" w:sz="0" w:space="0" w:color="auto"/>
        <w:left w:val="none" w:sz="0" w:space="0" w:color="auto"/>
        <w:bottom w:val="none" w:sz="0" w:space="0" w:color="auto"/>
        <w:right w:val="none" w:sz="0" w:space="0" w:color="auto"/>
      </w:divBdr>
      <w:divsChild>
        <w:div w:id="323320988">
          <w:marLeft w:val="0"/>
          <w:marRight w:val="0"/>
          <w:marTop w:val="0"/>
          <w:marBottom w:val="0"/>
          <w:divBdr>
            <w:top w:val="none" w:sz="0" w:space="0" w:color="auto"/>
            <w:left w:val="none" w:sz="0" w:space="0" w:color="auto"/>
            <w:bottom w:val="none" w:sz="0" w:space="0" w:color="auto"/>
            <w:right w:val="none" w:sz="0" w:space="0" w:color="auto"/>
          </w:divBdr>
        </w:div>
      </w:divsChild>
    </w:div>
    <w:div w:id="619385328">
      <w:bodyDiv w:val="1"/>
      <w:marLeft w:val="0"/>
      <w:marRight w:val="0"/>
      <w:marTop w:val="0"/>
      <w:marBottom w:val="0"/>
      <w:divBdr>
        <w:top w:val="none" w:sz="0" w:space="0" w:color="auto"/>
        <w:left w:val="none" w:sz="0" w:space="0" w:color="auto"/>
        <w:bottom w:val="none" w:sz="0" w:space="0" w:color="auto"/>
        <w:right w:val="none" w:sz="0" w:space="0" w:color="auto"/>
      </w:divBdr>
      <w:divsChild>
        <w:div w:id="485826163">
          <w:marLeft w:val="0"/>
          <w:marRight w:val="0"/>
          <w:marTop w:val="0"/>
          <w:marBottom w:val="0"/>
          <w:divBdr>
            <w:top w:val="none" w:sz="0" w:space="0" w:color="auto"/>
            <w:left w:val="none" w:sz="0" w:space="0" w:color="auto"/>
            <w:bottom w:val="none" w:sz="0" w:space="0" w:color="auto"/>
            <w:right w:val="none" w:sz="0" w:space="0" w:color="auto"/>
          </w:divBdr>
          <w:divsChild>
            <w:div w:id="760561869">
              <w:marLeft w:val="0"/>
              <w:marRight w:val="0"/>
              <w:marTop w:val="0"/>
              <w:marBottom w:val="0"/>
              <w:divBdr>
                <w:top w:val="none" w:sz="0" w:space="0" w:color="auto"/>
                <w:left w:val="none" w:sz="0" w:space="0" w:color="auto"/>
                <w:bottom w:val="none" w:sz="0" w:space="0" w:color="auto"/>
                <w:right w:val="none" w:sz="0" w:space="0" w:color="auto"/>
              </w:divBdr>
              <w:divsChild>
                <w:div w:id="21472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9650">
      <w:bodyDiv w:val="1"/>
      <w:marLeft w:val="0"/>
      <w:marRight w:val="0"/>
      <w:marTop w:val="0"/>
      <w:marBottom w:val="0"/>
      <w:divBdr>
        <w:top w:val="none" w:sz="0" w:space="0" w:color="auto"/>
        <w:left w:val="none" w:sz="0" w:space="0" w:color="auto"/>
        <w:bottom w:val="none" w:sz="0" w:space="0" w:color="auto"/>
        <w:right w:val="none" w:sz="0" w:space="0" w:color="auto"/>
      </w:divBdr>
      <w:divsChild>
        <w:div w:id="35543084">
          <w:marLeft w:val="0"/>
          <w:marRight w:val="0"/>
          <w:marTop w:val="0"/>
          <w:marBottom w:val="0"/>
          <w:divBdr>
            <w:top w:val="none" w:sz="0" w:space="0" w:color="auto"/>
            <w:left w:val="none" w:sz="0" w:space="0" w:color="auto"/>
            <w:bottom w:val="none" w:sz="0" w:space="0" w:color="auto"/>
            <w:right w:val="none" w:sz="0" w:space="0" w:color="auto"/>
          </w:divBdr>
        </w:div>
      </w:divsChild>
    </w:div>
    <w:div w:id="742143505">
      <w:bodyDiv w:val="1"/>
      <w:marLeft w:val="0"/>
      <w:marRight w:val="0"/>
      <w:marTop w:val="0"/>
      <w:marBottom w:val="0"/>
      <w:divBdr>
        <w:top w:val="none" w:sz="0" w:space="0" w:color="auto"/>
        <w:left w:val="none" w:sz="0" w:space="0" w:color="auto"/>
        <w:bottom w:val="none" w:sz="0" w:space="0" w:color="auto"/>
        <w:right w:val="none" w:sz="0" w:space="0" w:color="auto"/>
      </w:divBdr>
    </w:div>
    <w:div w:id="742487071">
      <w:bodyDiv w:val="1"/>
      <w:marLeft w:val="0"/>
      <w:marRight w:val="0"/>
      <w:marTop w:val="0"/>
      <w:marBottom w:val="0"/>
      <w:divBdr>
        <w:top w:val="none" w:sz="0" w:space="0" w:color="auto"/>
        <w:left w:val="none" w:sz="0" w:space="0" w:color="auto"/>
        <w:bottom w:val="none" w:sz="0" w:space="0" w:color="auto"/>
        <w:right w:val="none" w:sz="0" w:space="0" w:color="auto"/>
      </w:divBdr>
      <w:divsChild>
        <w:div w:id="28772364">
          <w:marLeft w:val="0"/>
          <w:marRight w:val="0"/>
          <w:marTop w:val="0"/>
          <w:marBottom w:val="0"/>
          <w:divBdr>
            <w:top w:val="none" w:sz="0" w:space="0" w:color="auto"/>
            <w:left w:val="none" w:sz="0" w:space="0" w:color="auto"/>
            <w:bottom w:val="none" w:sz="0" w:space="0" w:color="auto"/>
            <w:right w:val="none" w:sz="0" w:space="0" w:color="auto"/>
          </w:divBdr>
        </w:div>
      </w:divsChild>
    </w:div>
    <w:div w:id="787698834">
      <w:bodyDiv w:val="1"/>
      <w:marLeft w:val="0"/>
      <w:marRight w:val="0"/>
      <w:marTop w:val="0"/>
      <w:marBottom w:val="0"/>
      <w:divBdr>
        <w:top w:val="none" w:sz="0" w:space="0" w:color="auto"/>
        <w:left w:val="none" w:sz="0" w:space="0" w:color="auto"/>
        <w:bottom w:val="none" w:sz="0" w:space="0" w:color="auto"/>
        <w:right w:val="none" w:sz="0" w:space="0" w:color="auto"/>
      </w:divBdr>
    </w:div>
    <w:div w:id="841161854">
      <w:bodyDiv w:val="1"/>
      <w:marLeft w:val="0"/>
      <w:marRight w:val="0"/>
      <w:marTop w:val="0"/>
      <w:marBottom w:val="0"/>
      <w:divBdr>
        <w:top w:val="none" w:sz="0" w:space="0" w:color="auto"/>
        <w:left w:val="none" w:sz="0" w:space="0" w:color="auto"/>
        <w:bottom w:val="none" w:sz="0" w:space="0" w:color="auto"/>
        <w:right w:val="none" w:sz="0" w:space="0" w:color="auto"/>
      </w:divBdr>
    </w:div>
    <w:div w:id="848368057">
      <w:bodyDiv w:val="1"/>
      <w:marLeft w:val="0"/>
      <w:marRight w:val="0"/>
      <w:marTop w:val="0"/>
      <w:marBottom w:val="0"/>
      <w:divBdr>
        <w:top w:val="none" w:sz="0" w:space="0" w:color="auto"/>
        <w:left w:val="none" w:sz="0" w:space="0" w:color="auto"/>
        <w:bottom w:val="none" w:sz="0" w:space="0" w:color="auto"/>
        <w:right w:val="none" w:sz="0" w:space="0" w:color="auto"/>
      </w:divBdr>
    </w:div>
    <w:div w:id="854684335">
      <w:bodyDiv w:val="1"/>
      <w:marLeft w:val="0"/>
      <w:marRight w:val="0"/>
      <w:marTop w:val="0"/>
      <w:marBottom w:val="0"/>
      <w:divBdr>
        <w:top w:val="none" w:sz="0" w:space="0" w:color="auto"/>
        <w:left w:val="none" w:sz="0" w:space="0" w:color="auto"/>
        <w:bottom w:val="none" w:sz="0" w:space="0" w:color="auto"/>
        <w:right w:val="none" w:sz="0" w:space="0" w:color="auto"/>
      </w:divBdr>
    </w:div>
    <w:div w:id="873037326">
      <w:bodyDiv w:val="1"/>
      <w:marLeft w:val="0"/>
      <w:marRight w:val="0"/>
      <w:marTop w:val="0"/>
      <w:marBottom w:val="0"/>
      <w:divBdr>
        <w:top w:val="none" w:sz="0" w:space="0" w:color="auto"/>
        <w:left w:val="none" w:sz="0" w:space="0" w:color="auto"/>
        <w:bottom w:val="none" w:sz="0" w:space="0" w:color="auto"/>
        <w:right w:val="none" w:sz="0" w:space="0" w:color="auto"/>
      </w:divBdr>
      <w:divsChild>
        <w:div w:id="1972593577">
          <w:marLeft w:val="0"/>
          <w:marRight w:val="0"/>
          <w:marTop w:val="0"/>
          <w:marBottom w:val="0"/>
          <w:divBdr>
            <w:top w:val="none" w:sz="0" w:space="0" w:color="auto"/>
            <w:left w:val="none" w:sz="0" w:space="0" w:color="auto"/>
            <w:bottom w:val="none" w:sz="0" w:space="0" w:color="auto"/>
            <w:right w:val="none" w:sz="0" w:space="0" w:color="auto"/>
          </w:divBdr>
        </w:div>
      </w:divsChild>
    </w:div>
    <w:div w:id="898051300">
      <w:bodyDiv w:val="1"/>
      <w:marLeft w:val="0"/>
      <w:marRight w:val="0"/>
      <w:marTop w:val="0"/>
      <w:marBottom w:val="0"/>
      <w:divBdr>
        <w:top w:val="none" w:sz="0" w:space="0" w:color="auto"/>
        <w:left w:val="none" w:sz="0" w:space="0" w:color="auto"/>
        <w:bottom w:val="none" w:sz="0" w:space="0" w:color="auto"/>
        <w:right w:val="none" w:sz="0" w:space="0" w:color="auto"/>
      </w:divBdr>
      <w:divsChild>
        <w:div w:id="1090350355">
          <w:marLeft w:val="0"/>
          <w:marRight w:val="0"/>
          <w:marTop w:val="0"/>
          <w:marBottom w:val="0"/>
          <w:divBdr>
            <w:top w:val="none" w:sz="0" w:space="0" w:color="auto"/>
            <w:left w:val="none" w:sz="0" w:space="0" w:color="auto"/>
            <w:bottom w:val="none" w:sz="0" w:space="0" w:color="auto"/>
            <w:right w:val="none" w:sz="0" w:space="0" w:color="auto"/>
          </w:divBdr>
        </w:div>
      </w:divsChild>
    </w:div>
    <w:div w:id="932593841">
      <w:bodyDiv w:val="1"/>
      <w:marLeft w:val="0"/>
      <w:marRight w:val="0"/>
      <w:marTop w:val="0"/>
      <w:marBottom w:val="0"/>
      <w:divBdr>
        <w:top w:val="none" w:sz="0" w:space="0" w:color="auto"/>
        <w:left w:val="none" w:sz="0" w:space="0" w:color="auto"/>
        <w:bottom w:val="none" w:sz="0" w:space="0" w:color="auto"/>
        <w:right w:val="none" w:sz="0" w:space="0" w:color="auto"/>
      </w:divBdr>
    </w:div>
    <w:div w:id="968635180">
      <w:bodyDiv w:val="1"/>
      <w:marLeft w:val="0"/>
      <w:marRight w:val="0"/>
      <w:marTop w:val="0"/>
      <w:marBottom w:val="0"/>
      <w:divBdr>
        <w:top w:val="none" w:sz="0" w:space="0" w:color="auto"/>
        <w:left w:val="none" w:sz="0" w:space="0" w:color="auto"/>
        <w:bottom w:val="none" w:sz="0" w:space="0" w:color="auto"/>
        <w:right w:val="none" w:sz="0" w:space="0" w:color="auto"/>
      </w:divBdr>
    </w:div>
    <w:div w:id="1007712651">
      <w:bodyDiv w:val="1"/>
      <w:marLeft w:val="0"/>
      <w:marRight w:val="0"/>
      <w:marTop w:val="0"/>
      <w:marBottom w:val="0"/>
      <w:divBdr>
        <w:top w:val="none" w:sz="0" w:space="0" w:color="auto"/>
        <w:left w:val="none" w:sz="0" w:space="0" w:color="auto"/>
        <w:bottom w:val="none" w:sz="0" w:space="0" w:color="auto"/>
        <w:right w:val="none" w:sz="0" w:space="0" w:color="auto"/>
      </w:divBdr>
    </w:div>
    <w:div w:id="1018772656">
      <w:bodyDiv w:val="1"/>
      <w:marLeft w:val="0"/>
      <w:marRight w:val="0"/>
      <w:marTop w:val="0"/>
      <w:marBottom w:val="0"/>
      <w:divBdr>
        <w:top w:val="none" w:sz="0" w:space="0" w:color="auto"/>
        <w:left w:val="none" w:sz="0" w:space="0" w:color="auto"/>
        <w:bottom w:val="none" w:sz="0" w:space="0" w:color="auto"/>
        <w:right w:val="none" w:sz="0" w:space="0" w:color="auto"/>
      </w:divBdr>
      <w:divsChild>
        <w:div w:id="1693532429">
          <w:marLeft w:val="0"/>
          <w:marRight w:val="0"/>
          <w:marTop w:val="0"/>
          <w:marBottom w:val="0"/>
          <w:divBdr>
            <w:top w:val="none" w:sz="0" w:space="0" w:color="auto"/>
            <w:left w:val="none" w:sz="0" w:space="0" w:color="auto"/>
            <w:bottom w:val="none" w:sz="0" w:space="0" w:color="auto"/>
            <w:right w:val="none" w:sz="0" w:space="0" w:color="auto"/>
          </w:divBdr>
          <w:divsChild>
            <w:div w:id="167719151">
              <w:marLeft w:val="0"/>
              <w:marRight w:val="0"/>
              <w:marTop w:val="0"/>
              <w:marBottom w:val="0"/>
              <w:divBdr>
                <w:top w:val="none" w:sz="0" w:space="0" w:color="auto"/>
                <w:left w:val="none" w:sz="0" w:space="0" w:color="auto"/>
                <w:bottom w:val="none" w:sz="0" w:space="0" w:color="auto"/>
                <w:right w:val="none" w:sz="0" w:space="0" w:color="auto"/>
              </w:divBdr>
              <w:divsChild>
                <w:div w:id="4115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5428">
      <w:bodyDiv w:val="1"/>
      <w:marLeft w:val="0"/>
      <w:marRight w:val="0"/>
      <w:marTop w:val="0"/>
      <w:marBottom w:val="0"/>
      <w:divBdr>
        <w:top w:val="none" w:sz="0" w:space="0" w:color="auto"/>
        <w:left w:val="none" w:sz="0" w:space="0" w:color="auto"/>
        <w:bottom w:val="none" w:sz="0" w:space="0" w:color="auto"/>
        <w:right w:val="none" w:sz="0" w:space="0" w:color="auto"/>
      </w:divBdr>
    </w:div>
    <w:div w:id="1054234456">
      <w:bodyDiv w:val="1"/>
      <w:marLeft w:val="0"/>
      <w:marRight w:val="0"/>
      <w:marTop w:val="0"/>
      <w:marBottom w:val="0"/>
      <w:divBdr>
        <w:top w:val="none" w:sz="0" w:space="0" w:color="auto"/>
        <w:left w:val="none" w:sz="0" w:space="0" w:color="auto"/>
        <w:bottom w:val="none" w:sz="0" w:space="0" w:color="auto"/>
        <w:right w:val="none" w:sz="0" w:space="0" w:color="auto"/>
      </w:divBdr>
    </w:div>
    <w:div w:id="1093666049">
      <w:bodyDiv w:val="1"/>
      <w:marLeft w:val="0"/>
      <w:marRight w:val="0"/>
      <w:marTop w:val="0"/>
      <w:marBottom w:val="0"/>
      <w:divBdr>
        <w:top w:val="none" w:sz="0" w:space="0" w:color="auto"/>
        <w:left w:val="none" w:sz="0" w:space="0" w:color="auto"/>
        <w:bottom w:val="none" w:sz="0" w:space="0" w:color="auto"/>
        <w:right w:val="none" w:sz="0" w:space="0" w:color="auto"/>
      </w:divBdr>
    </w:div>
    <w:div w:id="1200168323">
      <w:bodyDiv w:val="1"/>
      <w:marLeft w:val="0"/>
      <w:marRight w:val="0"/>
      <w:marTop w:val="0"/>
      <w:marBottom w:val="0"/>
      <w:divBdr>
        <w:top w:val="none" w:sz="0" w:space="0" w:color="auto"/>
        <w:left w:val="none" w:sz="0" w:space="0" w:color="auto"/>
        <w:bottom w:val="none" w:sz="0" w:space="0" w:color="auto"/>
        <w:right w:val="none" w:sz="0" w:space="0" w:color="auto"/>
      </w:divBdr>
    </w:div>
    <w:div w:id="1261449476">
      <w:bodyDiv w:val="1"/>
      <w:marLeft w:val="0"/>
      <w:marRight w:val="0"/>
      <w:marTop w:val="0"/>
      <w:marBottom w:val="0"/>
      <w:divBdr>
        <w:top w:val="none" w:sz="0" w:space="0" w:color="auto"/>
        <w:left w:val="none" w:sz="0" w:space="0" w:color="auto"/>
        <w:bottom w:val="none" w:sz="0" w:space="0" w:color="auto"/>
        <w:right w:val="none" w:sz="0" w:space="0" w:color="auto"/>
      </w:divBdr>
    </w:div>
    <w:div w:id="1269967248">
      <w:bodyDiv w:val="1"/>
      <w:marLeft w:val="0"/>
      <w:marRight w:val="0"/>
      <w:marTop w:val="0"/>
      <w:marBottom w:val="0"/>
      <w:divBdr>
        <w:top w:val="none" w:sz="0" w:space="0" w:color="auto"/>
        <w:left w:val="none" w:sz="0" w:space="0" w:color="auto"/>
        <w:bottom w:val="none" w:sz="0" w:space="0" w:color="auto"/>
        <w:right w:val="none" w:sz="0" w:space="0" w:color="auto"/>
      </w:divBdr>
      <w:divsChild>
        <w:div w:id="743603327">
          <w:marLeft w:val="0"/>
          <w:marRight w:val="0"/>
          <w:marTop w:val="0"/>
          <w:marBottom w:val="0"/>
          <w:divBdr>
            <w:top w:val="none" w:sz="0" w:space="0" w:color="auto"/>
            <w:left w:val="none" w:sz="0" w:space="0" w:color="auto"/>
            <w:bottom w:val="none" w:sz="0" w:space="0" w:color="auto"/>
            <w:right w:val="none" w:sz="0" w:space="0" w:color="auto"/>
          </w:divBdr>
        </w:div>
      </w:divsChild>
    </w:div>
    <w:div w:id="1292204879">
      <w:bodyDiv w:val="1"/>
      <w:marLeft w:val="0"/>
      <w:marRight w:val="0"/>
      <w:marTop w:val="0"/>
      <w:marBottom w:val="0"/>
      <w:divBdr>
        <w:top w:val="none" w:sz="0" w:space="0" w:color="auto"/>
        <w:left w:val="none" w:sz="0" w:space="0" w:color="auto"/>
        <w:bottom w:val="none" w:sz="0" w:space="0" w:color="auto"/>
        <w:right w:val="none" w:sz="0" w:space="0" w:color="auto"/>
      </w:divBdr>
      <w:divsChild>
        <w:div w:id="841506975">
          <w:marLeft w:val="0"/>
          <w:marRight w:val="0"/>
          <w:marTop w:val="0"/>
          <w:marBottom w:val="0"/>
          <w:divBdr>
            <w:top w:val="none" w:sz="0" w:space="0" w:color="auto"/>
            <w:left w:val="none" w:sz="0" w:space="0" w:color="auto"/>
            <w:bottom w:val="none" w:sz="0" w:space="0" w:color="auto"/>
            <w:right w:val="none" w:sz="0" w:space="0" w:color="auto"/>
          </w:divBdr>
        </w:div>
      </w:divsChild>
    </w:div>
    <w:div w:id="1332100762">
      <w:bodyDiv w:val="1"/>
      <w:marLeft w:val="0"/>
      <w:marRight w:val="0"/>
      <w:marTop w:val="0"/>
      <w:marBottom w:val="0"/>
      <w:divBdr>
        <w:top w:val="none" w:sz="0" w:space="0" w:color="auto"/>
        <w:left w:val="none" w:sz="0" w:space="0" w:color="auto"/>
        <w:bottom w:val="none" w:sz="0" w:space="0" w:color="auto"/>
        <w:right w:val="none" w:sz="0" w:space="0" w:color="auto"/>
      </w:divBdr>
    </w:div>
    <w:div w:id="1338341102">
      <w:bodyDiv w:val="1"/>
      <w:marLeft w:val="0"/>
      <w:marRight w:val="0"/>
      <w:marTop w:val="0"/>
      <w:marBottom w:val="0"/>
      <w:divBdr>
        <w:top w:val="none" w:sz="0" w:space="0" w:color="auto"/>
        <w:left w:val="none" w:sz="0" w:space="0" w:color="auto"/>
        <w:bottom w:val="none" w:sz="0" w:space="0" w:color="auto"/>
        <w:right w:val="none" w:sz="0" w:space="0" w:color="auto"/>
      </w:divBdr>
      <w:divsChild>
        <w:div w:id="659621583">
          <w:marLeft w:val="0"/>
          <w:marRight w:val="0"/>
          <w:marTop w:val="0"/>
          <w:marBottom w:val="0"/>
          <w:divBdr>
            <w:top w:val="none" w:sz="0" w:space="0" w:color="auto"/>
            <w:left w:val="none" w:sz="0" w:space="0" w:color="auto"/>
            <w:bottom w:val="none" w:sz="0" w:space="0" w:color="auto"/>
            <w:right w:val="none" w:sz="0" w:space="0" w:color="auto"/>
          </w:divBdr>
          <w:divsChild>
            <w:div w:id="1810633590">
              <w:marLeft w:val="0"/>
              <w:marRight w:val="0"/>
              <w:marTop w:val="0"/>
              <w:marBottom w:val="0"/>
              <w:divBdr>
                <w:top w:val="none" w:sz="0" w:space="0" w:color="auto"/>
                <w:left w:val="none" w:sz="0" w:space="0" w:color="auto"/>
                <w:bottom w:val="none" w:sz="0" w:space="0" w:color="auto"/>
                <w:right w:val="none" w:sz="0" w:space="0" w:color="auto"/>
              </w:divBdr>
              <w:divsChild>
                <w:div w:id="844174875">
                  <w:marLeft w:val="0"/>
                  <w:marRight w:val="0"/>
                  <w:marTop w:val="0"/>
                  <w:marBottom w:val="0"/>
                  <w:divBdr>
                    <w:top w:val="none" w:sz="0" w:space="0" w:color="auto"/>
                    <w:left w:val="none" w:sz="0" w:space="0" w:color="auto"/>
                    <w:bottom w:val="none" w:sz="0" w:space="0" w:color="auto"/>
                    <w:right w:val="none" w:sz="0" w:space="0" w:color="auto"/>
                  </w:divBdr>
                </w:div>
                <w:div w:id="3569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06252">
      <w:bodyDiv w:val="1"/>
      <w:marLeft w:val="0"/>
      <w:marRight w:val="0"/>
      <w:marTop w:val="0"/>
      <w:marBottom w:val="0"/>
      <w:divBdr>
        <w:top w:val="none" w:sz="0" w:space="0" w:color="auto"/>
        <w:left w:val="none" w:sz="0" w:space="0" w:color="auto"/>
        <w:bottom w:val="none" w:sz="0" w:space="0" w:color="auto"/>
        <w:right w:val="none" w:sz="0" w:space="0" w:color="auto"/>
      </w:divBdr>
    </w:div>
    <w:div w:id="1413547496">
      <w:bodyDiv w:val="1"/>
      <w:marLeft w:val="0"/>
      <w:marRight w:val="0"/>
      <w:marTop w:val="0"/>
      <w:marBottom w:val="0"/>
      <w:divBdr>
        <w:top w:val="none" w:sz="0" w:space="0" w:color="auto"/>
        <w:left w:val="none" w:sz="0" w:space="0" w:color="auto"/>
        <w:bottom w:val="none" w:sz="0" w:space="0" w:color="auto"/>
        <w:right w:val="none" w:sz="0" w:space="0" w:color="auto"/>
      </w:divBdr>
    </w:div>
    <w:div w:id="1445004080">
      <w:bodyDiv w:val="1"/>
      <w:marLeft w:val="0"/>
      <w:marRight w:val="0"/>
      <w:marTop w:val="0"/>
      <w:marBottom w:val="0"/>
      <w:divBdr>
        <w:top w:val="none" w:sz="0" w:space="0" w:color="auto"/>
        <w:left w:val="none" w:sz="0" w:space="0" w:color="auto"/>
        <w:bottom w:val="none" w:sz="0" w:space="0" w:color="auto"/>
        <w:right w:val="none" w:sz="0" w:space="0" w:color="auto"/>
      </w:divBdr>
    </w:div>
    <w:div w:id="1445033801">
      <w:bodyDiv w:val="1"/>
      <w:marLeft w:val="0"/>
      <w:marRight w:val="0"/>
      <w:marTop w:val="0"/>
      <w:marBottom w:val="0"/>
      <w:divBdr>
        <w:top w:val="none" w:sz="0" w:space="0" w:color="auto"/>
        <w:left w:val="none" w:sz="0" w:space="0" w:color="auto"/>
        <w:bottom w:val="none" w:sz="0" w:space="0" w:color="auto"/>
        <w:right w:val="none" w:sz="0" w:space="0" w:color="auto"/>
      </w:divBdr>
    </w:div>
    <w:div w:id="1473525833">
      <w:bodyDiv w:val="1"/>
      <w:marLeft w:val="0"/>
      <w:marRight w:val="0"/>
      <w:marTop w:val="0"/>
      <w:marBottom w:val="0"/>
      <w:divBdr>
        <w:top w:val="none" w:sz="0" w:space="0" w:color="auto"/>
        <w:left w:val="none" w:sz="0" w:space="0" w:color="auto"/>
        <w:bottom w:val="none" w:sz="0" w:space="0" w:color="auto"/>
        <w:right w:val="none" w:sz="0" w:space="0" w:color="auto"/>
      </w:divBdr>
      <w:divsChild>
        <w:div w:id="659311133">
          <w:marLeft w:val="0"/>
          <w:marRight w:val="0"/>
          <w:marTop w:val="0"/>
          <w:marBottom w:val="0"/>
          <w:divBdr>
            <w:top w:val="single" w:sz="6" w:space="0" w:color="5B616B"/>
            <w:left w:val="single" w:sz="6" w:space="0" w:color="5B616B"/>
            <w:bottom w:val="single" w:sz="6" w:space="0" w:color="5B616B"/>
            <w:right w:val="single" w:sz="6" w:space="0" w:color="5B616B"/>
          </w:divBdr>
        </w:div>
        <w:div w:id="1436049844">
          <w:marLeft w:val="0"/>
          <w:marRight w:val="0"/>
          <w:marTop w:val="0"/>
          <w:marBottom w:val="0"/>
          <w:divBdr>
            <w:top w:val="none" w:sz="0" w:space="0" w:color="auto"/>
            <w:left w:val="none" w:sz="0" w:space="0" w:color="auto"/>
            <w:bottom w:val="none" w:sz="0" w:space="0" w:color="auto"/>
            <w:right w:val="none" w:sz="0" w:space="0" w:color="auto"/>
          </w:divBdr>
        </w:div>
      </w:divsChild>
    </w:div>
    <w:div w:id="1524829908">
      <w:bodyDiv w:val="1"/>
      <w:marLeft w:val="0"/>
      <w:marRight w:val="0"/>
      <w:marTop w:val="0"/>
      <w:marBottom w:val="0"/>
      <w:divBdr>
        <w:top w:val="none" w:sz="0" w:space="0" w:color="auto"/>
        <w:left w:val="none" w:sz="0" w:space="0" w:color="auto"/>
        <w:bottom w:val="none" w:sz="0" w:space="0" w:color="auto"/>
        <w:right w:val="none" w:sz="0" w:space="0" w:color="auto"/>
      </w:divBdr>
      <w:divsChild>
        <w:div w:id="1214273077">
          <w:marLeft w:val="0"/>
          <w:marRight w:val="0"/>
          <w:marTop w:val="0"/>
          <w:marBottom w:val="0"/>
          <w:divBdr>
            <w:top w:val="none" w:sz="0" w:space="0" w:color="auto"/>
            <w:left w:val="none" w:sz="0" w:space="0" w:color="auto"/>
            <w:bottom w:val="none" w:sz="0" w:space="0" w:color="auto"/>
            <w:right w:val="none" w:sz="0" w:space="0" w:color="auto"/>
          </w:divBdr>
        </w:div>
      </w:divsChild>
    </w:div>
    <w:div w:id="1531723057">
      <w:bodyDiv w:val="1"/>
      <w:marLeft w:val="0"/>
      <w:marRight w:val="0"/>
      <w:marTop w:val="0"/>
      <w:marBottom w:val="0"/>
      <w:divBdr>
        <w:top w:val="none" w:sz="0" w:space="0" w:color="auto"/>
        <w:left w:val="none" w:sz="0" w:space="0" w:color="auto"/>
        <w:bottom w:val="none" w:sz="0" w:space="0" w:color="auto"/>
        <w:right w:val="none" w:sz="0" w:space="0" w:color="auto"/>
      </w:divBdr>
      <w:divsChild>
        <w:div w:id="936790140">
          <w:marLeft w:val="0"/>
          <w:marRight w:val="0"/>
          <w:marTop w:val="0"/>
          <w:marBottom w:val="0"/>
          <w:divBdr>
            <w:top w:val="none" w:sz="0" w:space="0" w:color="auto"/>
            <w:left w:val="none" w:sz="0" w:space="0" w:color="auto"/>
            <w:bottom w:val="none" w:sz="0" w:space="0" w:color="auto"/>
            <w:right w:val="none" w:sz="0" w:space="0" w:color="auto"/>
          </w:divBdr>
          <w:divsChild>
            <w:div w:id="152380346">
              <w:marLeft w:val="0"/>
              <w:marRight w:val="0"/>
              <w:marTop w:val="0"/>
              <w:marBottom w:val="0"/>
              <w:divBdr>
                <w:top w:val="none" w:sz="0" w:space="0" w:color="auto"/>
                <w:left w:val="none" w:sz="0" w:space="0" w:color="auto"/>
                <w:bottom w:val="none" w:sz="0" w:space="0" w:color="auto"/>
                <w:right w:val="none" w:sz="0" w:space="0" w:color="auto"/>
              </w:divBdr>
              <w:divsChild>
                <w:div w:id="20295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93763">
      <w:bodyDiv w:val="1"/>
      <w:marLeft w:val="0"/>
      <w:marRight w:val="0"/>
      <w:marTop w:val="0"/>
      <w:marBottom w:val="0"/>
      <w:divBdr>
        <w:top w:val="none" w:sz="0" w:space="0" w:color="auto"/>
        <w:left w:val="none" w:sz="0" w:space="0" w:color="auto"/>
        <w:bottom w:val="none" w:sz="0" w:space="0" w:color="auto"/>
        <w:right w:val="none" w:sz="0" w:space="0" w:color="auto"/>
      </w:divBdr>
      <w:divsChild>
        <w:div w:id="149758827">
          <w:marLeft w:val="0"/>
          <w:marRight w:val="0"/>
          <w:marTop w:val="0"/>
          <w:marBottom w:val="0"/>
          <w:divBdr>
            <w:top w:val="none" w:sz="0" w:space="0" w:color="auto"/>
            <w:left w:val="none" w:sz="0" w:space="0" w:color="auto"/>
            <w:bottom w:val="none" w:sz="0" w:space="0" w:color="auto"/>
            <w:right w:val="none" w:sz="0" w:space="0" w:color="auto"/>
          </w:divBdr>
        </w:div>
      </w:divsChild>
    </w:div>
    <w:div w:id="1561402022">
      <w:bodyDiv w:val="1"/>
      <w:marLeft w:val="0"/>
      <w:marRight w:val="0"/>
      <w:marTop w:val="0"/>
      <w:marBottom w:val="0"/>
      <w:divBdr>
        <w:top w:val="none" w:sz="0" w:space="0" w:color="auto"/>
        <w:left w:val="none" w:sz="0" w:space="0" w:color="auto"/>
        <w:bottom w:val="none" w:sz="0" w:space="0" w:color="auto"/>
        <w:right w:val="none" w:sz="0" w:space="0" w:color="auto"/>
      </w:divBdr>
    </w:div>
    <w:div w:id="1567765958">
      <w:bodyDiv w:val="1"/>
      <w:marLeft w:val="0"/>
      <w:marRight w:val="0"/>
      <w:marTop w:val="0"/>
      <w:marBottom w:val="0"/>
      <w:divBdr>
        <w:top w:val="none" w:sz="0" w:space="0" w:color="auto"/>
        <w:left w:val="none" w:sz="0" w:space="0" w:color="auto"/>
        <w:bottom w:val="none" w:sz="0" w:space="0" w:color="auto"/>
        <w:right w:val="none" w:sz="0" w:space="0" w:color="auto"/>
      </w:divBdr>
    </w:div>
    <w:div w:id="1582375972">
      <w:bodyDiv w:val="1"/>
      <w:marLeft w:val="0"/>
      <w:marRight w:val="0"/>
      <w:marTop w:val="0"/>
      <w:marBottom w:val="0"/>
      <w:divBdr>
        <w:top w:val="none" w:sz="0" w:space="0" w:color="auto"/>
        <w:left w:val="none" w:sz="0" w:space="0" w:color="auto"/>
        <w:bottom w:val="none" w:sz="0" w:space="0" w:color="auto"/>
        <w:right w:val="none" w:sz="0" w:space="0" w:color="auto"/>
      </w:divBdr>
    </w:div>
    <w:div w:id="1599871590">
      <w:bodyDiv w:val="1"/>
      <w:marLeft w:val="0"/>
      <w:marRight w:val="0"/>
      <w:marTop w:val="0"/>
      <w:marBottom w:val="0"/>
      <w:divBdr>
        <w:top w:val="none" w:sz="0" w:space="0" w:color="auto"/>
        <w:left w:val="none" w:sz="0" w:space="0" w:color="auto"/>
        <w:bottom w:val="none" w:sz="0" w:space="0" w:color="auto"/>
        <w:right w:val="none" w:sz="0" w:space="0" w:color="auto"/>
      </w:divBdr>
    </w:div>
    <w:div w:id="1610233527">
      <w:bodyDiv w:val="1"/>
      <w:marLeft w:val="0"/>
      <w:marRight w:val="0"/>
      <w:marTop w:val="0"/>
      <w:marBottom w:val="0"/>
      <w:divBdr>
        <w:top w:val="none" w:sz="0" w:space="0" w:color="auto"/>
        <w:left w:val="none" w:sz="0" w:space="0" w:color="auto"/>
        <w:bottom w:val="none" w:sz="0" w:space="0" w:color="auto"/>
        <w:right w:val="none" w:sz="0" w:space="0" w:color="auto"/>
      </w:divBdr>
    </w:div>
    <w:div w:id="1622179430">
      <w:bodyDiv w:val="1"/>
      <w:marLeft w:val="0"/>
      <w:marRight w:val="0"/>
      <w:marTop w:val="0"/>
      <w:marBottom w:val="0"/>
      <w:divBdr>
        <w:top w:val="none" w:sz="0" w:space="0" w:color="auto"/>
        <w:left w:val="none" w:sz="0" w:space="0" w:color="auto"/>
        <w:bottom w:val="none" w:sz="0" w:space="0" w:color="auto"/>
        <w:right w:val="none" w:sz="0" w:space="0" w:color="auto"/>
      </w:divBdr>
      <w:divsChild>
        <w:div w:id="1646202153">
          <w:marLeft w:val="0"/>
          <w:marRight w:val="0"/>
          <w:marTop w:val="0"/>
          <w:marBottom w:val="0"/>
          <w:divBdr>
            <w:top w:val="none" w:sz="0" w:space="0" w:color="auto"/>
            <w:left w:val="none" w:sz="0" w:space="0" w:color="auto"/>
            <w:bottom w:val="none" w:sz="0" w:space="0" w:color="auto"/>
            <w:right w:val="none" w:sz="0" w:space="0" w:color="auto"/>
          </w:divBdr>
          <w:divsChild>
            <w:div w:id="156267370">
              <w:marLeft w:val="0"/>
              <w:marRight w:val="0"/>
              <w:marTop w:val="0"/>
              <w:marBottom w:val="0"/>
              <w:divBdr>
                <w:top w:val="none" w:sz="0" w:space="0" w:color="auto"/>
                <w:left w:val="none" w:sz="0" w:space="0" w:color="auto"/>
                <w:bottom w:val="none" w:sz="0" w:space="0" w:color="auto"/>
                <w:right w:val="none" w:sz="0" w:space="0" w:color="auto"/>
              </w:divBdr>
              <w:divsChild>
                <w:div w:id="4529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8469">
      <w:bodyDiv w:val="1"/>
      <w:marLeft w:val="0"/>
      <w:marRight w:val="0"/>
      <w:marTop w:val="0"/>
      <w:marBottom w:val="0"/>
      <w:divBdr>
        <w:top w:val="none" w:sz="0" w:space="0" w:color="auto"/>
        <w:left w:val="none" w:sz="0" w:space="0" w:color="auto"/>
        <w:bottom w:val="none" w:sz="0" w:space="0" w:color="auto"/>
        <w:right w:val="none" w:sz="0" w:space="0" w:color="auto"/>
      </w:divBdr>
    </w:div>
    <w:div w:id="1684699090">
      <w:bodyDiv w:val="1"/>
      <w:marLeft w:val="0"/>
      <w:marRight w:val="0"/>
      <w:marTop w:val="0"/>
      <w:marBottom w:val="0"/>
      <w:divBdr>
        <w:top w:val="none" w:sz="0" w:space="0" w:color="auto"/>
        <w:left w:val="none" w:sz="0" w:space="0" w:color="auto"/>
        <w:bottom w:val="none" w:sz="0" w:space="0" w:color="auto"/>
        <w:right w:val="none" w:sz="0" w:space="0" w:color="auto"/>
      </w:divBdr>
    </w:div>
    <w:div w:id="1685786142">
      <w:bodyDiv w:val="1"/>
      <w:marLeft w:val="0"/>
      <w:marRight w:val="0"/>
      <w:marTop w:val="0"/>
      <w:marBottom w:val="0"/>
      <w:divBdr>
        <w:top w:val="none" w:sz="0" w:space="0" w:color="auto"/>
        <w:left w:val="none" w:sz="0" w:space="0" w:color="auto"/>
        <w:bottom w:val="none" w:sz="0" w:space="0" w:color="auto"/>
        <w:right w:val="none" w:sz="0" w:space="0" w:color="auto"/>
      </w:divBdr>
      <w:divsChild>
        <w:div w:id="239609090">
          <w:marLeft w:val="0"/>
          <w:marRight w:val="0"/>
          <w:marTop w:val="0"/>
          <w:marBottom w:val="0"/>
          <w:divBdr>
            <w:top w:val="none" w:sz="0" w:space="0" w:color="auto"/>
            <w:left w:val="none" w:sz="0" w:space="0" w:color="auto"/>
            <w:bottom w:val="none" w:sz="0" w:space="0" w:color="auto"/>
            <w:right w:val="none" w:sz="0" w:space="0" w:color="auto"/>
          </w:divBdr>
        </w:div>
      </w:divsChild>
    </w:div>
    <w:div w:id="1700475487">
      <w:bodyDiv w:val="1"/>
      <w:marLeft w:val="0"/>
      <w:marRight w:val="0"/>
      <w:marTop w:val="0"/>
      <w:marBottom w:val="0"/>
      <w:divBdr>
        <w:top w:val="none" w:sz="0" w:space="0" w:color="auto"/>
        <w:left w:val="none" w:sz="0" w:space="0" w:color="auto"/>
        <w:bottom w:val="none" w:sz="0" w:space="0" w:color="auto"/>
        <w:right w:val="none" w:sz="0" w:space="0" w:color="auto"/>
      </w:divBdr>
      <w:divsChild>
        <w:div w:id="526798676">
          <w:marLeft w:val="0"/>
          <w:marRight w:val="0"/>
          <w:marTop w:val="0"/>
          <w:marBottom w:val="0"/>
          <w:divBdr>
            <w:top w:val="none" w:sz="0" w:space="0" w:color="auto"/>
            <w:left w:val="none" w:sz="0" w:space="0" w:color="auto"/>
            <w:bottom w:val="none" w:sz="0" w:space="0" w:color="auto"/>
            <w:right w:val="none" w:sz="0" w:space="0" w:color="auto"/>
          </w:divBdr>
        </w:div>
      </w:divsChild>
    </w:div>
    <w:div w:id="1735857125">
      <w:bodyDiv w:val="1"/>
      <w:marLeft w:val="0"/>
      <w:marRight w:val="0"/>
      <w:marTop w:val="0"/>
      <w:marBottom w:val="0"/>
      <w:divBdr>
        <w:top w:val="none" w:sz="0" w:space="0" w:color="auto"/>
        <w:left w:val="none" w:sz="0" w:space="0" w:color="auto"/>
        <w:bottom w:val="none" w:sz="0" w:space="0" w:color="auto"/>
        <w:right w:val="none" w:sz="0" w:space="0" w:color="auto"/>
      </w:divBdr>
      <w:divsChild>
        <w:div w:id="2057193253">
          <w:marLeft w:val="0"/>
          <w:marRight w:val="0"/>
          <w:marTop w:val="0"/>
          <w:marBottom w:val="0"/>
          <w:divBdr>
            <w:top w:val="none" w:sz="0" w:space="0" w:color="auto"/>
            <w:left w:val="none" w:sz="0" w:space="0" w:color="auto"/>
            <w:bottom w:val="none" w:sz="0" w:space="0" w:color="auto"/>
            <w:right w:val="none" w:sz="0" w:space="0" w:color="auto"/>
          </w:divBdr>
          <w:divsChild>
            <w:div w:id="1358585482">
              <w:marLeft w:val="0"/>
              <w:marRight w:val="0"/>
              <w:marTop w:val="0"/>
              <w:marBottom w:val="0"/>
              <w:divBdr>
                <w:top w:val="none" w:sz="0" w:space="0" w:color="auto"/>
                <w:left w:val="none" w:sz="0" w:space="0" w:color="auto"/>
                <w:bottom w:val="none" w:sz="0" w:space="0" w:color="auto"/>
                <w:right w:val="none" w:sz="0" w:space="0" w:color="auto"/>
              </w:divBdr>
              <w:divsChild>
                <w:div w:id="8588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18005">
      <w:bodyDiv w:val="1"/>
      <w:marLeft w:val="0"/>
      <w:marRight w:val="0"/>
      <w:marTop w:val="0"/>
      <w:marBottom w:val="0"/>
      <w:divBdr>
        <w:top w:val="none" w:sz="0" w:space="0" w:color="auto"/>
        <w:left w:val="none" w:sz="0" w:space="0" w:color="auto"/>
        <w:bottom w:val="none" w:sz="0" w:space="0" w:color="auto"/>
        <w:right w:val="none" w:sz="0" w:space="0" w:color="auto"/>
      </w:divBdr>
    </w:div>
    <w:div w:id="1772779106">
      <w:bodyDiv w:val="1"/>
      <w:marLeft w:val="0"/>
      <w:marRight w:val="0"/>
      <w:marTop w:val="0"/>
      <w:marBottom w:val="0"/>
      <w:divBdr>
        <w:top w:val="none" w:sz="0" w:space="0" w:color="auto"/>
        <w:left w:val="none" w:sz="0" w:space="0" w:color="auto"/>
        <w:bottom w:val="none" w:sz="0" w:space="0" w:color="auto"/>
        <w:right w:val="none" w:sz="0" w:space="0" w:color="auto"/>
      </w:divBdr>
      <w:divsChild>
        <w:div w:id="335428475">
          <w:marLeft w:val="0"/>
          <w:marRight w:val="0"/>
          <w:marTop w:val="0"/>
          <w:marBottom w:val="0"/>
          <w:divBdr>
            <w:top w:val="none" w:sz="0" w:space="0" w:color="auto"/>
            <w:left w:val="none" w:sz="0" w:space="0" w:color="auto"/>
            <w:bottom w:val="none" w:sz="0" w:space="0" w:color="auto"/>
            <w:right w:val="none" w:sz="0" w:space="0" w:color="auto"/>
          </w:divBdr>
          <w:divsChild>
            <w:div w:id="1718627548">
              <w:marLeft w:val="0"/>
              <w:marRight w:val="0"/>
              <w:marTop w:val="0"/>
              <w:marBottom w:val="0"/>
              <w:divBdr>
                <w:top w:val="none" w:sz="0" w:space="0" w:color="auto"/>
                <w:left w:val="none" w:sz="0" w:space="0" w:color="auto"/>
                <w:bottom w:val="none" w:sz="0" w:space="0" w:color="auto"/>
                <w:right w:val="none" w:sz="0" w:space="0" w:color="auto"/>
              </w:divBdr>
              <w:divsChild>
                <w:div w:id="11650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58566">
      <w:bodyDiv w:val="1"/>
      <w:marLeft w:val="0"/>
      <w:marRight w:val="0"/>
      <w:marTop w:val="0"/>
      <w:marBottom w:val="0"/>
      <w:divBdr>
        <w:top w:val="none" w:sz="0" w:space="0" w:color="auto"/>
        <w:left w:val="none" w:sz="0" w:space="0" w:color="auto"/>
        <w:bottom w:val="none" w:sz="0" w:space="0" w:color="auto"/>
        <w:right w:val="none" w:sz="0" w:space="0" w:color="auto"/>
      </w:divBdr>
      <w:divsChild>
        <w:div w:id="680619756">
          <w:marLeft w:val="0"/>
          <w:marRight w:val="0"/>
          <w:marTop w:val="0"/>
          <w:marBottom w:val="0"/>
          <w:divBdr>
            <w:top w:val="none" w:sz="0" w:space="0" w:color="auto"/>
            <w:left w:val="none" w:sz="0" w:space="0" w:color="auto"/>
            <w:bottom w:val="none" w:sz="0" w:space="0" w:color="auto"/>
            <w:right w:val="none" w:sz="0" w:space="0" w:color="auto"/>
          </w:divBdr>
          <w:divsChild>
            <w:div w:id="696320928">
              <w:marLeft w:val="0"/>
              <w:marRight w:val="0"/>
              <w:marTop w:val="0"/>
              <w:marBottom w:val="0"/>
              <w:divBdr>
                <w:top w:val="none" w:sz="0" w:space="0" w:color="auto"/>
                <w:left w:val="none" w:sz="0" w:space="0" w:color="auto"/>
                <w:bottom w:val="none" w:sz="0" w:space="0" w:color="auto"/>
                <w:right w:val="none" w:sz="0" w:space="0" w:color="auto"/>
              </w:divBdr>
              <w:divsChild>
                <w:div w:id="200365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8034">
      <w:bodyDiv w:val="1"/>
      <w:marLeft w:val="0"/>
      <w:marRight w:val="0"/>
      <w:marTop w:val="0"/>
      <w:marBottom w:val="0"/>
      <w:divBdr>
        <w:top w:val="none" w:sz="0" w:space="0" w:color="auto"/>
        <w:left w:val="none" w:sz="0" w:space="0" w:color="auto"/>
        <w:bottom w:val="none" w:sz="0" w:space="0" w:color="auto"/>
        <w:right w:val="none" w:sz="0" w:space="0" w:color="auto"/>
      </w:divBdr>
      <w:divsChild>
        <w:div w:id="739253153">
          <w:marLeft w:val="0"/>
          <w:marRight w:val="0"/>
          <w:marTop w:val="0"/>
          <w:marBottom w:val="0"/>
          <w:divBdr>
            <w:top w:val="none" w:sz="0" w:space="0" w:color="auto"/>
            <w:left w:val="none" w:sz="0" w:space="0" w:color="auto"/>
            <w:bottom w:val="none" w:sz="0" w:space="0" w:color="auto"/>
            <w:right w:val="none" w:sz="0" w:space="0" w:color="auto"/>
          </w:divBdr>
          <w:divsChild>
            <w:div w:id="1101989309">
              <w:marLeft w:val="0"/>
              <w:marRight w:val="0"/>
              <w:marTop w:val="0"/>
              <w:marBottom w:val="0"/>
              <w:divBdr>
                <w:top w:val="none" w:sz="0" w:space="0" w:color="auto"/>
                <w:left w:val="none" w:sz="0" w:space="0" w:color="auto"/>
                <w:bottom w:val="none" w:sz="0" w:space="0" w:color="auto"/>
                <w:right w:val="none" w:sz="0" w:space="0" w:color="auto"/>
              </w:divBdr>
              <w:divsChild>
                <w:div w:id="20465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4525">
      <w:bodyDiv w:val="1"/>
      <w:marLeft w:val="0"/>
      <w:marRight w:val="0"/>
      <w:marTop w:val="0"/>
      <w:marBottom w:val="0"/>
      <w:divBdr>
        <w:top w:val="none" w:sz="0" w:space="0" w:color="auto"/>
        <w:left w:val="none" w:sz="0" w:space="0" w:color="auto"/>
        <w:bottom w:val="none" w:sz="0" w:space="0" w:color="auto"/>
        <w:right w:val="none" w:sz="0" w:space="0" w:color="auto"/>
      </w:divBdr>
    </w:div>
    <w:div w:id="2025472175">
      <w:bodyDiv w:val="1"/>
      <w:marLeft w:val="0"/>
      <w:marRight w:val="0"/>
      <w:marTop w:val="0"/>
      <w:marBottom w:val="0"/>
      <w:divBdr>
        <w:top w:val="none" w:sz="0" w:space="0" w:color="auto"/>
        <w:left w:val="none" w:sz="0" w:space="0" w:color="auto"/>
        <w:bottom w:val="none" w:sz="0" w:space="0" w:color="auto"/>
        <w:right w:val="none" w:sz="0" w:space="0" w:color="auto"/>
      </w:divBdr>
    </w:div>
    <w:div w:id="2032605105">
      <w:bodyDiv w:val="1"/>
      <w:marLeft w:val="0"/>
      <w:marRight w:val="0"/>
      <w:marTop w:val="0"/>
      <w:marBottom w:val="0"/>
      <w:divBdr>
        <w:top w:val="none" w:sz="0" w:space="0" w:color="auto"/>
        <w:left w:val="none" w:sz="0" w:space="0" w:color="auto"/>
        <w:bottom w:val="none" w:sz="0" w:space="0" w:color="auto"/>
        <w:right w:val="none" w:sz="0" w:space="0" w:color="auto"/>
      </w:divBdr>
    </w:div>
    <w:div w:id="2045910091">
      <w:bodyDiv w:val="1"/>
      <w:marLeft w:val="0"/>
      <w:marRight w:val="0"/>
      <w:marTop w:val="0"/>
      <w:marBottom w:val="0"/>
      <w:divBdr>
        <w:top w:val="none" w:sz="0" w:space="0" w:color="auto"/>
        <w:left w:val="none" w:sz="0" w:space="0" w:color="auto"/>
        <w:bottom w:val="none" w:sz="0" w:space="0" w:color="auto"/>
        <w:right w:val="none" w:sz="0" w:space="0" w:color="auto"/>
      </w:divBdr>
      <w:divsChild>
        <w:div w:id="1336373019">
          <w:marLeft w:val="0"/>
          <w:marRight w:val="0"/>
          <w:marTop w:val="0"/>
          <w:marBottom w:val="0"/>
          <w:divBdr>
            <w:top w:val="none" w:sz="0" w:space="0" w:color="auto"/>
            <w:left w:val="none" w:sz="0" w:space="0" w:color="auto"/>
            <w:bottom w:val="none" w:sz="0" w:space="0" w:color="auto"/>
            <w:right w:val="none" w:sz="0" w:space="0" w:color="auto"/>
          </w:divBdr>
        </w:div>
      </w:divsChild>
    </w:div>
    <w:div w:id="2061394366">
      <w:bodyDiv w:val="1"/>
      <w:marLeft w:val="0"/>
      <w:marRight w:val="0"/>
      <w:marTop w:val="0"/>
      <w:marBottom w:val="0"/>
      <w:divBdr>
        <w:top w:val="none" w:sz="0" w:space="0" w:color="auto"/>
        <w:left w:val="none" w:sz="0" w:space="0" w:color="auto"/>
        <w:bottom w:val="none" w:sz="0" w:space="0" w:color="auto"/>
        <w:right w:val="none" w:sz="0" w:space="0" w:color="auto"/>
      </w:divBdr>
    </w:div>
    <w:div w:id="2113624693">
      <w:bodyDiv w:val="1"/>
      <w:marLeft w:val="0"/>
      <w:marRight w:val="0"/>
      <w:marTop w:val="0"/>
      <w:marBottom w:val="0"/>
      <w:divBdr>
        <w:top w:val="none" w:sz="0" w:space="0" w:color="auto"/>
        <w:left w:val="none" w:sz="0" w:space="0" w:color="auto"/>
        <w:bottom w:val="none" w:sz="0" w:space="0" w:color="auto"/>
        <w:right w:val="none" w:sz="0" w:space="0" w:color="auto"/>
      </w:divBdr>
    </w:div>
    <w:div w:id="2130583341">
      <w:bodyDiv w:val="1"/>
      <w:marLeft w:val="0"/>
      <w:marRight w:val="0"/>
      <w:marTop w:val="0"/>
      <w:marBottom w:val="0"/>
      <w:divBdr>
        <w:top w:val="none" w:sz="0" w:space="0" w:color="auto"/>
        <w:left w:val="none" w:sz="0" w:space="0" w:color="auto"/>
        <w:bottom w:val="none" w:sz="0" w:space="0" w:color="auto"/>
        <w:right w:val="none" w:sz="0" w:space="0" w:color="auto"/>
      </w:divBdr>
    </w:div>
    <w:div w:id="2132900367">
      <w:bodyDiv w:val="1"/>
      <w:marLeft w:val="0"/>
      <w:marRight w:val="0"/>
      <w:marTop w:val="0"/>
      <w:marBottom w:val="0"/>
      <w:divBdr>
        <w:top w:val="none" w:sz="0" w:space="0" w:color="auto"/>
        <w:left w:val="none" w:sz="0" w:space="0" w:color="auto"/>
        <w:bottom w:val="none" w:sz="0" w:space="0" w:color="auto"/>
        <w:right w:val="none" w:sz="0" w:space="0" w:color="auto"/>
      </w:divBdr>
      <w:divsChild>
        <w:div w:id="1937321770">
          <w:marLeft w:val="0"/>
          <w:marRight w:val="0"/>
          <w:marTop w:val="0"/>
          <w:marBottom w:val="0"/>
          <w:divBdr>
            <w:top w:val="none" w:sz="0" w:space="0" w:color="auto"/>
            <w:left w:val="none" w:sz="0" w:space="0" w:color="auto"/>
            <w:bottom w:val="none" w:sz="0" w:space="0" w:color="auto"/>
            <w:right w:val="none" w:sz="0" w:space="0" w:color="auto"/>
          </w:divBdr>
          <w:divsChild>
            <w:div w:id="1173181869">
              <w:marLeft w:val="0"/>
              <w:marRight w:val="0"/>
              <w:marTop w:val="0"/>
              <w:marBottom w:val="0"/>
              <w:divBdr>
                <w:top w:val="none" w:sz="0" w:space="0" w:color="auto"/>
                <w:left w:val="none" w:sz="0" w:space="0" w:color="auto"/>
                <w:bottom w:val="none" w:sz="0" w:space="0" w:color="auto"/>
                <w:right w:val="none" w:sz="0" w:space="0" w:color="auto"/>
              </w:divBdr>
              <w:divsChild>
                <w:div w:id="1535732095">
                  <w:marLeft w:val="0"/>
                  <w:marRight w:val="0"/>
                  <w:marTop w:val="0"/>
                  <w:marBottom w:val="0"/>
                  <w:divBdr>
                    <w:top w:val="none" w:sz="0" w:space="0" w:color="auto"/>
                    <w:left w:val="none" w:sz="0" w:space="0" w:color="auto"/>
                    <w:bottom w:val="none" w:sz="0" w:space="0" w:color="auto"/>
                    <w:right w:val="none" w:sz="0" w:space="0" w:color="auto"/>
                  </w:divBdr>
                  <w:divsChild>
                    <w:div w:id="72340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928/00485713-20131206-05" TargetMode="External"/><Relationship Id="rId21" Type="http://schemas.openxmlformats.org/officeDocument/2006/relationships/hyperlink" Target="https://news.gallup.com/opinion/gallup/226934/career-relevant-education-linked-student.aspx" TargetMode="External"/><Relationship Id="rId42" Type="http://schemas.openxmlformats.org/officeDocument/2006/relationships/hyperlink" Target="https://doi.org/10.1080/87568225.2019.1660291" TargetMode="External"/><Relationship Id="rId47" Type="http://schemas.openxmlformats.org/officeDocument/2006/relationships/hyperlink" Target="https://doi.org/10.1080/01443410.2014.893560" TargetMode="External"/><Relationship Id="rId63" Type="http://schemas.openxmlformats.org/officeDocument/2006/relationships/hyperlink" Target="https://doi.org/10.1111/nyas.14342" TargetMode="External"/><Relationship Id="rId68" Type="http://schemas.openxmlformats.org/officeDocument/2006/relationships/hyperlink" Target="https://doi.org/10.1111/j.1751-9004.2011.00379.x" TargetMode="External"/><Relationship Id="rId84" Type="http://schemas.openxmlformats.org/officeDocument/2006/relationships/hyperlink" Target="https://doi.org/10.3389/fpsyg.2020.00108" TargetMode="External"/><Relationship Id="rId16" Type="http://schemas.openxmlformats.org/officeDocument/2006/relationships/hyperlink" Target="https://doi.org/10.1002/ajcp.12407" TargetMode="External"/><Relationship Id="rId11" Type="http://schemas.openxmlformats.org/officeDocument/2006/relationships/header" Target="header1.xml"/><Relationship Id="rId32" Type="http://schemas.openxmlformats.org/officeDocument/2006/relationships/hyperlink" Target="https://doi.org/10.1353/jhe.2007.0009" TargetMode="External"/><Relationship Id="rId37" Type="http://schemas.openxmlformats.org/officeDocument/2006/relationships/hyperlink" Target="https://doi.org/10.1177/2167696812467780" TargetMode="External"/><Relationship Id="rId53" Type="http://schemas.openxmlformats.org/officeDocument/2006/relationships/hyperlink" Target="https://doi.org/10.1002/da.22830" TargetMode="External"/><Relationship Id="rId58" Type="http://schemas.openxmlformats.org/officeDocument/2006/relationships/hyperlink" Target="https://doi:10.3390/bs9120135" TargetMode="External"/><Relationship Id="rId74" Type="http://schemas.openxmlformats.org/officeDocument/2006/relationships/hyperlink" Target="https://doi.org/10.3402/ejpt.v5.25338" TargetMode="External"/><Relationship Id="rId79" Type="http://schemas.openxmlformats.org/officeDocument/2006/relationships/hyperlink" Target="https://doi.org/10.1177/2167696813506885" TargetMode="External"/><Relationship Id="rId5" Type="http://schemas.openxmlformats.org/officeDocument/2006/relationships/footnotes" Target="footnotes.xml"/><Relationship Id="rId19" Type="http://schemas.openxmlformats.org/officeDocument/2006/relationships/hyperlink" Target="https://doi.org/10.1007/s11218-019-09484-8" TargetMode="External"/><Relationship Id="rId14" Type="http://schemas.openxmlformats.org/officeDocument/2006/relationships/header" Target="header2.xml"/><Relationship Id="rId22" Type="http://schemas.openxmlformats.org/officeDocument/2006/relationships/hyperlink" Target="https://doi:10.1016/j.brat.2005.05.001" TargetMode="External"/><Relationship Id="rId27" Type="http://schemas.openxmlformats.org/officeDocument/2006/relationships/hyperlink" Target="https://doi.org/10.1177/1069072710374587" TargetMode="External"/><Relationship Id="rId30" Type="http://schemas.openxmlformats.org/officeDocument/2006/relationships/hyperlink" Target="https://doi.org/10.1080/01930826.2021.1906543" TargetMode="External"/><Relationship Id="rId35" Type="http://schemas.openxmlformats.org/officeDocument/2006/relationships/hyperlink" Target="https://www.luminafoundation.org/files/resources/galluppurdueindex-report-2014.pdf" TargetMode="External"/><Relationship Id="rId43" Type="http://schemas.openxmlformats.org/officeDocument/2006/relationships/hyperlink" Target="https://doi.org/10.1080/87568225.2019.1578940" TargetMode="External"/><Relationship Id="rId48" Type="http://schemas.openxmlformats.org/officeDocument/2006/relationships/hyperlink" Target="https://doi.org/10.1080/07448481.2020.1802283" TargetMode="External"/><Relationship Id="rId56" Type="http://schemas.openxmlformats.org/officeDocument/2006/relationships/hyperlink" Target="https://doi.org/10.1111/jan.14531" TargetMode="External"/><Relationship Id="rId64" Type="http://schemas.openxmlformats.org/officeDocument/2006/relationships/hyperlink" Target="https://doi.org/10.1080/10528008.2021.1901234" TargetMode="External"/><Relationship Id="rId69" Type="http://schemas.openxmlformats.org/officeDocument/2006/relationships/hyperlink" Target="https://doi.org/10.1002/ajcp.12206" TargetMode="External"/><Relationship Id="rId77" Type="http://schemas.openxmlformats.org/officeDocument/2006/relationships/hyperlink" Target="https://doi.org/10.1177/0044118X10382877" TargetMode="External"/><Relationship Id="rId8" Type="http://schemas.openxmlformats.org/officeDocument/2006/relationships/image" Target="media/image2.jpeg"/><Relationship Id="rId51" Type="http://schemas.openxmlformats.org/officeDocument/2006/relationships/hyperlink" Target="https://doi.org/10.4236/psych.2012.312A180" TargetMode="External"/><Relationship Id="rId72" Type="http://schemas.openxmlformats.org/officeDocument/2006/relationships/hyperlink" Target="https://doi.org/10.1371/journal.pone.0251859" TargetMode="External"/><Relationship Id="rId80" Type="http://schemas.openxmlformats.org/officeDocument/2006/relationships/hyperlink" Target="https://doi.org/10.1111/sipr.12085" TargetMode="External"/><Relationship Id="rId85" Type="http://schemas.openxmlformats.org/officeDocument/2006/relationships/hyperlink" Target="https://doi.org/10.1007/s10464-010-9325-x"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016/j.janxdis.2009.07.011" TargetMode="External"/><Relationship Id="rId25" Type="http://schemas.openxmlformats.org/officeDocument/2006/relationships/hyperlink" Target="https://news.gallup.com/poll/246170/six-college-experiences-linked-student-confidence-jobs.aspx" TargetMode="External"/><Relationship Id="rId33" Type="http://schemas.openxmlformats.org/officeDocument/2006/relationships/hyperlink" Target="https://doi.org/10.1080/01609513.2016.1272032" TargetMode="External"/><Relationship Id="rId38" Type="http://schemas.openxmlformats.org/officeDocument/2006/relationships/hyperlink" Target="https://doi.org/15210251211022741" TargetMode="External"/><Relationship Id="rId46" Type="http://schemas.openxmlformats.org/officeDocument/2006/relationships/hyperlink" Target="https://doi.org/10.1007/s10964-017-0798-x" TargetMode="External"/><Relationship Id="rId59" Type="http://schemas.openxmlformats.org/officeDocument/2006/relationships/hyperlink" Target="https://doi.org/10.1080/00050067.2021.1965854" TargetMode="External"/><Relationship Id="rId67" Type="http://schemas.openxmlformats.org/officeDocument/2006/relationships/hyperlink" Target="https://doi.org/10.1177/1538192702001001004" TargetMode="External"/><Relationship Id="rId20" Type="http://schemas.openxmlformats.org/officeDocument/2006/relationships/hyperlink" Target="https://doi.org/10.1353/csd.2004.0020" TargetMode="External"/><Relationship Id="rId41" Type="http://schemas.openxmlformats.org/officeDocument/2006/relationships/hyperlink" Target="https://doi.org/10.1080/07448481.2021.1908309" TargetMode="External"/><Relationship Id="rId54" Type="http://schemas.openxmlformats.org/officeDocument/2006/relationships/hyperlink" Target="https://doi.org/10.5204/ssj.v10i3.1407" TargetMode="External"/><Relationship Id="rId62" Type="http://schemas.openxmlformats.org/officeDocument/2006/relationships/hyperlink" Target="https://doi.org/10.3390/ijerph17197001" TargetMode="External"/><Relationship Id="rId70" Type="http://schemas.openxmlformats.org/officeDocument/2006/relationships/hyperlink" Target="https://doi.org/10.1001/jamapsychiatry.2015.2688" TargetMode="External"/><Relationship Id="rId75" Type="http://schemas.openxmlformats.org/officeDocument/2006/relationships/hyperlink" Target="https://doi.org/10.1001/archinte.166.10.1092" TargetMode="External"/><Relationship Id="rId83" Type="http://schemas.openxmlformats.org/officeDocument/2006/relationships/hyperlink" Target="https://doi.org/10.1080/07448481.2020.185123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hart" Target="charts/chart1.xml"/><Relationship Id="rId23" Type="http://schemas.openxmlformats.org/officeDocument/2006/relationships/hyperlink" Target="https://doi.org/10.17744/mehc.33.3.u1n011t020783086" TargetMode="External"/><Relationship Id="rId28" Type="http://schemas.openxmlformats.org/officeDocument/2006/relationships/hyperlink" Target="https://eric.ed.gov/?id=EJ1160090" TargetMode="External"/><Relationship Id="rId36" Type="http://schemas.openxmlformats.org/officeDocument/2006/relationships/hyperlink" Target="https://doi.org/10.1037/dhe0000068" TargetMode="External"/><Relationship Id="rId49" Type="http://schemas.openxmlformats.org/officeDocument/2006/relationships/hyperlink" Target="https://doi.org/10.1176/ajp.152.7.1026" TargetMode="External"/><Relationship Id="rId57" Type="http://schemas.openxmlformats.org/officeDocument/2006/relationships/hyperlink" Target="https://doi.org/10.1080/00405840701233172" TargetMode="External"/><Relationship Id="rId10" Type="http://schemas.openxmlformats.org/officeDocument/2006/relationships/hyperlink" Target="mailto:msteinhardt@austin.utexas.edu" TargetMode="External"/><Relationship Id="rId31" Type="http://schemas.openxmlformats.org/officeDocument/2006/relationships/hyperlink" Target="https://doi.org/10.3758/BF03193146" TargetMode="External"/><Relationship Id="rId44" Type="http://schemas.openxmlformats.org/officeDocument/2006/relationships/hyperlink" Target="https://doi.org/10.1080/07448481.2016.1227826" TargetMode="External"/><Relationship Id="rId52" Type="http://schemas.openxmlformats.org/officeDocument/2006/relationships/hyperlink" Target="https://doi.org/10.1016/j.jadohealth.2018.04.014" TargetMode="External"/><Relationship Id="rId60" Type="http://schemas.openxmlformats.org/officeDocument/2006/relationships/hyperlink" Target="https://doi.org/10.1080/07448481.2018.1462818" TargetMode="External"/><Relationship Id="rId65" Type="http://schemas.openxmlformats.org/officeDocument/2006/relationships/hyperlink" Target="https://doi.org/10.32674/hepe.v5i1.1139" TargetMode="External"/><Relationship Id="rId73" Type="http://schemas.openxmlformats.org/officeDocument/2006/relationships/hyperlink" Target="https://doi.org/10.1080/10705500802222972" TargetMode="External"/><Relationship Id="rId78" Type="http://schemas.openxmlformats.org/officeDocument/2006/relationships/hyperlink" Target="https://doi.org/10.3200/JACH.56.44.445-454" TargetMode="External"/><Relationship Id="rId81" Type="http://schemas.openxmlformats.org/officeDocument/2006/relationships/hyperlink" Target="https://doi.org/10.1353/csd.2016.0080"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3203-7054" TargetMode="External"/><Relationship Id="rId13" Type="http://schemas.openxmlformats.org/officeDocument/2006/relationships/footer" Target="footer2.xml"/><Relationship Id="rId18" Type="http://schemas.openxmlformats.org/officeDocument/2006/relationships/hyperlink" Target="https://doi.org/10.1016/j.jad.2014.10.054" TargetMode="External"/><Relationship Id="rId39" Type="http://schemas.openxmlformats.org/officeDocument/2006/relationships/hyperlink" Target="https://doi.org/10.1080/13562517.2015.1136274" TargetMode="External"/><Relationship Id="rId34" Type="http://schemas.openxmlformats.org/officeDocument/2006/relationships/hyperlink" Target="https://doi.org/10.1007/s12671-019-01203-w" TargetMode="External"/><Relationship Id="rId50" Type="http://schemas.openxmlformats.org/officeDocument/2006/relationships/hyperlink" Target="https://doi.org/10.1080/19496591.2020.1853557" TargetMode="External"/><Relationship Id="rId55" Type="http://schemas.openxmlformats.org/officeDocument/2006/relationships/hyperlink" Target="https://doi.org/10.1002/jmcd.12040" TargetMode="External"/><Relationship Id="rId76" Type="http://schemas.openxmlformats.org/officeDocument/2006/relationships/hyperlink" Target="https://doi.org/10.1080/07481756.2021.1902239" TargetMode="External"/><Relationship Id="rId7" Type="http://schemas.openxmlformats.org/officeDocument/2006/relationships/image" Target="media/image1.jpeg"/><Relationship Id="rId71" Type="http://schemas.openxmlformats.org/officeDocument/2006/relationships/hyperlink" Target="https://news.gallup.com/poll/182306/big-six-college-experiences-linked-life-preparedness.aspx" TargetMode="External"/><Relationship Id="rId2" Type="http://schemas.openxmlformats.org/officeDocument/2006/relationships/styles" Target="styles.xml"/><Relationship Id="rId29" Type="http://schemas.openxmlformats.org/officeDocument/2006/relationships/hyperlink" Target="https://doi.org/10.1002/ss.20194" TargetMode="External"/><Relationship Id="rId24" Type="http://schemas.openxmlformats.org/officeDocument/2006/relationships/hyperlink" Target="https://doi.org/10.1002/j.2161-1912.2013.00029.x" TargetMode="External"/><Relationship Id="rId40" Type="http://schemas.openxmlformats.org/officeDocument/2006/relationships/hyperlink" Target="https://doi.org/10.1002/j.2161-1882.2012.00004.x" TargetMode="External"/><Relationship Id="rId45" Type="http://schemas.openxmlformats.org/officeDocument/2006/relationships/hyperlink" Target="https://doi.org/10.1080/10615806.2020.1736900" TargetMode="External"/><Relationship Id="rId66" Type="http://schemas.openxmlformats.org/officeDocument/2006/relationships/hyperlink" Target="https://doi.org/10.1177/1932202X19828744" TargetMode="External"/><Relationship Id="rId87" Type="http://schemas.openxmlformats.org/officeDocument/2006/relationships/theme" Target="theme/theme1.xml"/><Relationship Id="rId61" Type="http://schemas.openxmlformats.org/officeDocument/2006/relationships/hyperlink" Target="https://news.gallup.com/poll/168848/life-college-matters-life-college.aspx" TargetMode="External"/><Relationship Id="rId82" Type="http://schemas.openxmlformats.org/officeDocument/2006/relationships/hyperlink" Target="http://www.jmir.org/2020/9/e228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ihun\Box%20Sync\Downloads\interation%20graphf.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'\Users\jihun\Box Sync\Resilience Lab Group (Graduate Students)\Jaylen Wright\Jaylen, MS\Thesis Information and Data\Moderation Analysis\[BRS. Anx, &amp; Dep Moderation Graphs_9.23.19.xlsx]Sheet1'!$B$23</c:f>
              <c:strCache>
                <c:ptCount val="1"/>
                <c:pt idx="0">
                  <c:v>-1 SD</c:v>
                </c:pt>
              </c:strCache>
            </c:strRef>
          </c:tx>
          <c:spPr>
            <a:ln w="28575" cap="rnd">
              <a:solidFill>
                <a:schemeClr val="tx1"/>
              </a:solidFill>
              <a:prstDash val="sysDot"/>
              <a:round/>
            </a:ln>
            <a:effectLst/>
          </c:spPr>
          <c:marker>
            <c:symbol val="none"/>
          </c:marker>
          <c:cat>
            <c:strRef>
              <c:f>'\Users\jihun\Box Sync\Resilience Lab Group (Graduate Students)\Jaylen Wright\Jaylen, MS\Thesis Information and Data\Moderation Analysis\[BRS. Anx, &amp; Dep Moderation Graphs_9.23.19.xlsx]Sheet1'!$A$18:$A$20</c:f>
              <c:strCache>
                <c:ptCount val="3"/>
                <c:pt idx="0">
                  <c:v>-1 SD</c:v>
                </c:pt>
                <c:pt idx="1">
                  <c:v>Mean</c:v>
                </c:pt>
                <c:pt idx="2">
                  <c:v>+ 1 SD</c:v>
                </c:pt>
              </c:strCache>
            </c:strRef>
          </c:cat>
          <c:val>
            <c:numRef>
              <c:f>'\Users\jihun\Box Sync\Resilience Lab Group (Graduate Students)\Jaylen Wright\Jaylen, MS\Thesis Information and Data\Moderation Analysis\[BRS. Anx, &amp; Dep Moderation Graphs_9.23.19.xlsx]Sheet1'!$B$24:$B$26</c:f>
              <c:numCache>
                <c:formatCode>General</c:formatCode>
                <c:ptCount val="3"/>
                <c:pt idx="0">
                  <c:v>10.537599999999999</c:v>
                </c:pt>
                <c:pt idx="1">
                  <c:v>8.7895000000000003</c:v>
                </c:pt>
                <c:pt idx="2">
                  <c:v>7.0412999999999997</c:v>
                </c:pt>
              </c:numCache>
            </c:numRef>
          </c:val>
          <c:smooth val="0"/>
          <c:extLst>
            <c:ext xmlns:c16="http://schemas.microsoft.com/office/drawing/2014/chart" uri="{C3380CC4-5D6E-409C-BE32-E72D297353CC}">
              <c16:uniqueId val="{00000000-AA71-1A48-9A38-010028542F23}"/>
            </c:ext>
          </c:extLst>
        </c:ser>
        <c:ser>
          <c:idx val="1"/>
          <c:order val="1"/>
          <c:tx>
            <c:strRef>
              <c:f>'\Users\jihun\Box Sync\Resilience Lab Group (Graduate Students)\Jaylen Wright\Jaylen, MS\Thesis Information and Data\Moderation Analysis\[BRS. Anx, &amp; Dep Moderation Graphs_9.23.19.xlsx]Sheet1'!$C$23</c:f>
              <c:strCache>
                <c:ptCount val="1"/>
                <c:pt idx="0">
                  <c:v>Mean</c:v>
                </c:pt>
              </c:strCache>
            </c:strRef>
          </c:tx>
          <c:spPr>
            <a:ln w="28575" cap="rnd">
              <a:solidFill>
                <a:schemeClr val="tx1"/>
              </a:solidFill>
              <a:round/>
            </a:ln>
            <a:effectLst/>
          </c:spPr>
          <c:marker>
            <c:symbol val="none"/>
          </c:marker>
          <c:cat>
            <c:strRef>
              <c:f>'\Users\jihun\Box Sync\Resilience Lab Group (Graduate Students)\Jaylen Wright\Jaylen, MS\Thesis Information and Data\Moderation Analysis\[BRS. Anx, &amp; Dep Moderation Graphs_9.23.19.xlsx]Sheet1'!$A$18:$A$20</c:f>
              <c:strCache>
                <c:ptCount val="3"/>
                <c:pt idx="0">
                  <c:v>-1 SD</c:v>
                </c:pt>
                <c:pt idx="1">
                  <c:v>Mean</c:v>
                </c:pt>
                <c:pt idx="2">
                  <c:v>+ 1 SD</c:v>
                </c:pt>
              </c:strCache>
            </c:strRef>
          </c:cat>
          <c:val>
            <c:numRef>
              <c:f>'\Users\jihun\Box Sync\Resilience Lab Group (Graduate Students)\Jaylen Wright\Jaylen, MS\Thesis Information and Data\Moderation Analysis\[BRS. Anx, &amp; Dep Moderation Graphs_9.23.19.xlsx]Sheet1'!$C$24:$C$26</c:f>
              <c:numCache>
                <c:formatCode>General</c:formatCode>
                <c:ptCount val="3"/>
                <c:pt idx="0">
                  <c:v>11.136100000000001</c:v>
                </c:pt>
                <c:pt idx="1">
                  <c:v>8.6263000000000005</c:v>
                </c:pt>
                <c:pt idx="2">
                  <c:v>6.1165000000000003</c:v>
                </c:pt>
              </c:numCache>
            </c:numRef>
          </c:val>
          <c:smooth val="0"/>
          <c:extLst>
            <c:ext xmlns:c16="http://schemas.microsoft.com/office/drawing/2014/chart" uri="{C3380CC4-5D6E-409C-BE32-E72D297353CC}">
              <c16:uniqueId val="{00000001-AA71-1A48-9A38-010028542F23}"/>
            </c:ext>
          </c:extLst>
        </c:ser>
        <c:ser>
          <c:idx val="2"/>
          <c:order val="2"/>
          <c:tx>
            <c:strRef>
              <c:f>'\Users\jihun\Box Sync\Resilience Lab Group (Graduate Students)\Jaylen Wright\Jaylen, MS\Thesis Information and Data\Moderation Analysis\[BRS. Anx, &amp; Dep Moderation Graphs_9.23.19.xlsx]Sheet1'!$D$23</c:f>
              <c:strCache>
                <c:ptCount val="1"/>
                <c:pt idx="0">
                  <c:v>+1 SD</c:v>
                </c:pt>
              </c:strCache>
            </c:strRef>
          </c:tx>
          <c:spPr>
            <a:ln w="28575" cap="rnd">
              <a:solidFill>
                <a:schemeClr val="tx1"/>
              </a:solidFill>
              <a:prstDash val="dash"/>
              <a:round/>
            </a:ln>
            <a:effectLst/>
          </c:spPr>
          <c:marker>
            <c:symbol val="none"/>
          </c:marker>
          <c:cat>
            <c:strRef>
              <c:f>'\Users\jihun\Box Sync\Resilience Lab Group (Graduate Students)\Jaylen Wright\Jaylen, MS\Thesis Information and Data\Moderation Analysis\[BRS. Anx, &amp; Dep Moderation Graphs_9.23.19.xlsx]Sheet1'!$A$18:$A$20</c:f>
              <c:strCache>
                <c:ptCount val="3"/>
                <c:pt idx="0">
                  <c:v>-1 SD</c:v>
                </c:pt>
                <c:pt idx="1">
                  <c:v>Mean</c:v>
                </c:pt>
                <c:pt idx="2">
                  <c:v>+ 1 SD</c:v>
                </c:pt>
              </c:strCache>
            </c:strRef>
          </c:cat>
          <c:val>
            <c:numRef>
              <c:f>'\Users\jihun\Box Sync\Resilience Lab Group (Graduate Students)\Jaylen Wright\Jaylen, MS\Thesis Information and Data\Moderation Analysis\[BRS. Anx, &amp; Dep Moderation Graphs_9.23.19.xlsx]Sheet1'!$D$24:$D$26</c:f>
              <c:numCache>
                <c:formatCode>General</c:formatCode>
                <c:ptCount val="3"/>
                <c:pt idx="0">
                  <c:v>11.734500000000001</c:v>
                </c:pt>
                <c:pt idx="1">
                  <c:v>8.4631000000000007</c:v>
                </c:pt>
                <c:pt idx="2">
                  <c:v>5.1917999999999997</c:v>
                </c:pt>
              </c:numCache>
            </c:numRef>
          </c:val>
          <c:smooth val="0"/>
          <c:extLst>
            <c:ext xmlns:c16="http://schemas.microsoft.com/office/drawing/2014/chart" uri="{C3380CC4-5D6E-409C-BE32-E72D297353CC}">
              <c16:uniqueId val="{00000002-AA71-1A48-9A38-010028542F23}"/>
            </c:ext>
          </c:extLst>
        </c:ser>
        <c:dLbls>
          <c:showLegendKey val="0"/>
          <c:showVal val="0"/>
          <c:showCatName val="0"/>
          <c:showSerName val="0"/>
          <c:showPercent val="0"/>
          <c:showBubbleSize val="0"/>
        </c:dLbls>
        <c:smooth val="0"/>
        <c:axId val="1133654320"/>
        <c:axId val="1133656800"/>
      </c:lineChart>
      <c:catAx>
        <c:axId val="113365432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Resilience</a:t>
                </a:r>
              </a:p>
            </c:rich>
          </c:tx>
          <c:layout>
            <c:manualLayout>
              <c:xMode val="edge"/>
              <c:yMode val="edge"/>
              <c:x val="0.40432903659579122"/>
              <c:y val="0.9194861750418242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0" spcFirstLastPara="1" vertOverflow="ellipsis" wrap="square" anchor="ctr" anchorCtr="0"/>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33656800"/>
        <c:crosses val="autoZero"/>
        <c:auto val="1"/>
        <c:lblAlgn val="ctr"/>
        <c:lblOffset val="100"/>
        <c:noMultiLvlLbl val="0"/>
      </c:catAx>
      <c:valAx>
        <c:axId val="1133656800"/>
        <c:scaling>
          <c:orientation val="minMax"/>
          <c:max val="12"/>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a:solidFill>
                      <a:schemeClr val="tx1"/>
                    </a:solidFill>
                    <a:latin typeface="Times New Roman" panose="02020603050405020304" pitchFamily="18" charset="0"/>
                    <a:cs typeface="Times New Roman" panose="02020603050405020304" pitchFamily="18" charset="0"/>
                  </a:rPr>
                  <a:t>Anxiety Symptoms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3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133654320"/>
        <c:crosses val="autoZero"/>
        <c:crossBetween val="between"/>
      </c:valAx>
      <c:spPr>
        <a:noFill/>
        <a:ln>
          <a:noFill/>
        </a:ln>
        <a:effectLst/>
      </c:spPr>
    </c:plotArea>
    <c:legend>
      <c:legendPos val="r"/>
      <c:layout>
        <c:manualLayout>
          <c:xMode val="edge"/>
          <c:yMode val="edge"/>
          <c:x val="0.73586563999282018"/>
          <c:y val="0.14043844760304319"/>
          <c:w val="0.21251842669803869"/>
          <c:h val="0.3293500885511830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0.55053</cdr:x>
      <cdr:y>0.0637</cdr:y>
    </cdr:from>
    <cdr:to>
      <cdr:x>0.99665</cdr:x>
      <cdr:y>0.14865</cdr:y>
    </cdr:to>
    <cdr:sp macro="" textlink="">
      <cdr:nvSpPr>
        <cdr:cNvPr id="2" name="TextBox 1">
          <a:extLst xmlns:a="http://schemas.openxmlformats.org/drawingml/2006/main">
            <a:ext uri="{FF2B5EF4-FFF2-40B4-BE49-F238E27FC236}">
              <a16:creationId xmlns:a16="http://schemas.microsoft.com/office/drawing/2014/main" id="{923114EA-D183-1048-BB1A-67BEF1670AAC}"/>
            </a:ext>
          </a:extLst>
        </cdr:cNvPr>
        <cdr:cNvSpPr txBox="1"/>
      </cdr:nvSpPr>
      <cdr:spPr>
        <a:xfrm xmlns:a="http://schemas.openxmlformats.org/drawingml/2006/main">
          <a:off x="3130550" y="272468"/>
          <a:ext cx="2536825" cy="3633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solidFill>
                <a:sysClr val="windowText" lastClr="000000"/>
              </a:solidFill>
              <a:latin typeface="Times New Roman" panose="02020603050405020304" pitchFamily="18" charset="0"/>
              <a:cs typeface="Times New Roman" panose="02020603050405020304" pitchFamily="18" charset="0"/>
            </a:rPr>
            <a:t>Positive College</a:t>
          </a:r>
          <a:r>
            <a:rPr lang="en-US" sz="1200" baseline="0">
              <a:solidFill>
                <a:sysClr val="windowText" lastClr="000000"/>
              </a:solidFill>
              <a:latin typeface="Times New Roman" panose="02020603050405020304" pitchFamily="18" charset="0"/>
              <a:cs typeface="Times New Roman" panose="02020603050405020304" pitchFamily="18" charset="0"/>
            </a:rPr>
            <a:t> </a:t>
          </a:r>
          <a:r>
            <a:rPr lang="en-US" sz="1200" baseline="0">
              <a:latin typeface="Times New Roman" panose="02020603050405020304" pitchFamily="18" charset="0"/>
              <a:cs typeface="Times New Roman" panose="02020603050405020304" pitchFamily="18" charset="0"/>
            </a:rPr>
            <a:t>E</a:t>
          </a:r>
          <a:r>
            <a:rPr lang="en-US" sz="1200">
              <a:latin typeface="Times New Roman" panose="02020603050405020304" pitchFamily="18" charset="0"/>
              <a:cs typeface="Times New Roman" panose="02020603050405020304" pitchFamily="18" charset="0"/>
            </a:rPr>
            <a:t>xperiences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1547</TotalTime>
  <Pages>32</Pages>
  <Words>10844</Words>
  <Characters>61811</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 Wright</dc:creator>
  <cp:keywords/>
  <dc:description/>
  <cp:lastModifiedBy>Steinhardt, Mary A</cp:lastModifiedBy>
  <cp:revision>114</cp:revision>
  <cp:lastPrinted>2022-10-23T22:43:00Z</cp:lastPrinted>
  <dcterms:created xsi:type="dcterms:W3CDTF">2022-10-23T21:34:00Z</dcterms:created>
  <dcterms:modified xsi:type="dcterms:W3CDTF">2023-01-14T23:07:00Z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2022-10-08T16:51:27Z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107c526c-6c55-4b2d-a2c3-e57af32ec718</vt:lpwstr>
  </property>
  <property fmtid="{D5CDD505-2E9C-101B-9397-08002B2CF9AE}" pid="8" name="MSIP_Label_5e4b1be8-281e-475d-98b0-21c3457e5a46_ContentBits">
    <vt:lpwstr>0</vt:lpwstr>
  </property>
</Properties>
</file>